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F1D99" w14:textId="75960B85" w:rsidR="004C713D" w:rsidRDefault="004C713D"/>
    <w:p w14:paraId="1844F5D7" w14:textId="2897EAC9" w:rsidR="00E22FA2" w:rsidRPr="00E22FA2" w:rsidRDefault="00E22FA2" w:rsidP="00E22FA2"/>
    <w:p w14:paraId="0B61F517" w14:textId="45BF0CC9" w:rsidR="00E22FA2" w:rsidRPr="00E22FA2" w:rsidRDefault="00E22FA2" w:rsidP="00E22FA2">
      <w:pPr>
        <w:spacing w:after="0" w:line="240" w:lineRule="auto"/>
        <w:rPr>
          <w:rFonts w:asciiTheme="majorHAnsi" w:hAnsiTheme="majorHAnsi" w:cstheme="majorHAnsi"/>
          <w:color w:val="0E101A"/>
          <w:sz w:val="24"/>
          <w:szCs w:val="24"/>
        </w:rPr>
      </w:pPr>
      <w:r w:rsidRPr="00E22FA2">
        <w:rPr>
          <w:rFonts w:asciiTheme="majorHAnsi" w:hAnsiTheme="majorHAnsi" w:cstheme="majorHAnsi"/>
          <w:color w:val="0E101A"/>
          <w:sz w:val="24"/>
          <w:szCs w:val="24"/>
        </w:rPr>
        <w:t>Literary Devices: Teaching Social Contract Theory with a Short Story</w:t>
      </w:r>
    </w:p>
    <w:p w14:paraId="4D5A50F6" w14:textId="491C6362" w:rsidR="00E22FA2" w:rsidRPr="00E22FA2" w:rsidRDefault="00E22FA2" w:rsidP="00E22FA2">
      <w:pPr>
        <w:spacing w:after="0" w:line="240" w:lineRule="auto"/>
        <w:rPr>
          <w:rFonts w:asciiTheme="majorHAnsi" w:hAnsiTheme="majorHAnsi" w:cstheme="majorHAnsi"/>
          <w:sz w:val="24"/>
          <w:szCs w:val="24"/>
        </w:rPr>
      </w:pPr>
      <w:r w:rsidRPr="00E22FA2">
        <w:rPr>
          <w:rFonts w:asciiTheme="majorHAnsi" w:hAnsiTheme="majorHAnsi" w:cstheme="majorHAnsi"/>
          <w:color w:val="0E101A"/>
          <w:sz w:val="24"/>
          <w:szCs w:val="24"/>
        </w:rPr>
        <w:t xml:space="preserve">Political Theory </w:t>
      </w:r>
    </w:p>
    <w:p w14:paraId="46A3E064" w14:textId="77777777" w:rsidR="00E22FA2" w:rsidRPr="00E22FA2" w:rsidRDefault="00E22FA2" w:rsidP="00E22FA2">
      <w:pPr>
        <w:spacing w:after="0" w:line="240" w:lineRule="auto"/>
        <w:rPr>
          <w:rFonts w:asciiTheme="majorHAnsi" w:hAnsiTheme="majorHAnsi" w:cstheme="majorHAnsi"/>
          <w:sz w:val="24"/>
          <w:szCs w:val="24"/>
        </w:rPr>
      </w:pPr>
    </w:p>
    <w:p w14:paraId="5A94CC39" w14:textId="611D932C" w:rsidR="00E22FA2" w:rsidRPr="00E22FA2" w:rsidRDefault="00E22FA2" w:rsidP="00E22FA2">
      <w:pPr>
        <w:spacing w:after="0" w:line="240" w:lineRule="auto"/>
        <w:rPr>
          <w:rFonts w:asciiTheme="majorHAnsi" w:hAnsiTheme="majorHAnsi" w:cstheme="majorHAnsi"/>
          <w:sz w:val="24"/>
          <w:szCs w:val="24"/>
        </w:rPr>
      </w:pPr>
      <w:r w:rsidRPr="00E22FA2">
        <w:rPr>
          <w:rFonts w:asciiTheme="majorHAnsi" w:hAnsiTheme="majorHAnsi" w:cstheme="majorHAnsi"/>
          <w:sz w:val="24"/>
          <w:szCs w:val="24"/>
        </w:rPr>
        <w:t xml:space="preserve">Jennet Kirkpatrick </w:t>
      </w:r>
    </w:p>
    <w:p w14:paraId="58893371" w14:textId="4FB210C6" w:rsidR="00E22FA2" w:rsidRPr="00E22FA2" w:rsidRDefault="00E22FA2" w:rsidP="00E22FA2">
      <w:pPr>
        <w:spacing w:after="0" w:line="240" w:lineRule="auto"/>
        <w:rPr>
          <w:rFonts w:asciiTheme="majorHAnsi" w:hAnsiTheme="majorHAnsi" w:cstheme="majorHAnsi"/>
          <w:sz w:val="24"/>
          <w:szCs w:val="24"/>
        </w:rPr>
      </w:pPr>
      <w:r w:rsidRPr="00E22FA2">
        <w:rPr>
          <w:rFonts w:asciiTheme="majorHAnsi" w:hAnsiTheme="majorHAnsi" w:cstheme="majorHAnsi"/>
          <w:sz w:val="24"/>
          <w:szCs w:val="24"/>
        </w:rPr>
        <w:t>Arizona State University</w:t>
      </w:r>
    </w:p>
    <w:p w14:paraId="7D3A6EF1" w14:textId="77777777" w:rsidR="00E22FA2" w:rsidRDefault="00E22FA2" w:rsidP="00E22FA2"/>
    <w:p w14:paraId="7680532E" w14:textId="466A06B5" w:rsidR="00E22FA2" w:rsidRDefault="00925C57" w:rsidP="00925C57">
      <w:pPr>
        <w:spacing w:after="0" w:line="240" w:lineRule="auto"/>
        <w:rPr>
          <w:rFonts w:asciiTheme="majorHAnsi" w:hAnsiTheme="majorHAnsi" w:cstheme="majorHAnsi"/>
          <w:sz w:val="24"/>
          <w:szCs w:val="24"/>
        </w:rPr>
      </w:pPr>
      <w:r w:rsidRPr="00E22FA2">
        <w:rPr>
          <w:rFonts w:asciiTheme="majorHAnsi" w:hAnsiTheme="majorHAnsi" w:cstheme="majorHAnsi"/>
          <w:sz w:val="24"/>
          <w:szCs w:val="24"/>
        </w:rPr>
        <w:t>Overview</w:t>
      </w:r>
    </w:p>
    <w:p w14:paraId="6C9020EC" w14:textId="77777777" w:rsidR="000546C1" w:rsidRPr="00925C57" w:rsidRDefault="000546C1" w:rsidP="00925C57">
      <w:pPr>
        <w:spacing w:after="0" w:line="240" w:lineRule="auto"/>
        <w:rPr>
          <w:rFonts w:asciiTheme="majorHAnsi" w:hAnsiTheme="majorHAnsi" w:cstheme="majorHAnsi"/>
          <w:sz w:val="24"/>
          <w:szCs w:val="24"/>
        </w:rPr>
      </w:pPr>
    </w:p>
    <w:p w14:paraId="7DBC94E8" w14:textId="04E527B9"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r w:rsidRPr="00E22FA2">
        <w:rPr>
          <w:rFonts w:asciiTheme="minorHAnsi" w:hAnsiTheme="minorHAnsi" w:cstheme="minorHAnsi"/>
          <w:color w:val="0E101A"/>
        </w:rPr>
        <w:t>Teaching the social contract tradition to undergraduate students can be frustrating. Students may find the writing style of Hobbes, Locke, or Rousseau fusty. At the same time, critical concepts such as the state of nature or tacit consent may seem arcane, abstract, or irrelevant. Some students may struggle to understand why the process of securing consent matters. They may also miss that social contract writers tend to link consent and dissent. Consent to a social contract tends to limit what counts as legitimate dissent or revolution from it. </w:t>
      </w:r>
    </w:p>
    <w:p w14:paraId="46A994EC"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p>
    <w:p w14:paraId="72C2F953"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r w:rsidRPr="00E22FA2">
        <w:rPr>
          <w:rFonts w:asciiTheme="minorHAnsi" w:hAnsiTheme="minorHAnsi" w:cstheme="minorHAnsi"/>
          <w:color w:val="0E101A"/>
        </w:rPr>
        <w:t xml:space="preserve">Is it possible to get students invested in exploring the process of consent (and maybe even get excited by it)? I struggled with this question until I came across a short story by Ursula K. Le </w:t>
      </w:r>
      <w:proofErr w:type="spellStart"/>
      <w:r w:rsidRPr="00E22FA2">
        <w:rPr>
          <w:rFonts w:asciiTheme="minorHAnsi" w:hAnsiTheme="minorHAnsi" w:cstheme="minorHAnsi"/>
          <w:color w:val="0E101A"/>
        </w:rPr>
        <w:t>Guin</w:t>
      </w:r>
      <w:proofErr w:type="spellEnd"/>
      <w:r w:rsidRPr="00E22FA2">
        <w:rPr>
          <w:rFonts w:asciiTheme="minorHAnsi" w:hAnsiTheme="minorHAnsi" w:cstheme="minorHAnsi"/>
          <w:color w:val="0E101A"/>
        </w:rPr>
        <w:t>, "The Ones Who Walk Away from Omelas." I have successfully used this thought-provoking work of literature in a wide variety of teaching contexts, including small seminars and large lecture courses, at three public universities. "Omelas" is disturbing. It depicts a suspicious process of consent to a social contract, one that raises questions about legitimacy. What is more, the social contract is itself distressing because it is grounded on domination, injustice, and abuse.  </w:t>
      </w:r>
    </w:p>
    <w:p w14:paraId="3CE3CBF4"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p>
    <w:p w14:paraId="0A143193"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r w:rsidRPr="00E22FA2">
        <w:rPr>
          <w:rFonts w:asciiTheme="minorHAnsi" w:hAnsiTheme="minorHAnsi" w:cstheme="minorHAnsi"/>
          <w:color w:val="0E101A"/>
        </w:rPr>
        <w:t xml:space="preserve">In addition to the substantive merits of "Omelas," there are some practical considerations that make it an appealing addition to your syllabus. The story, which is approximately 2,800 words long, </w:t>
      </w:r>
      <w:hyperlink r:id="rId7" w:history="1">
        <w:r w:rsidRPr="00E22FA2">
          <w:rPr>
            <w:rStyle w:val="Hyperlink"/>
            <w:rFonts w:asciiTheme="minorHAnsi" w:hAnsiTheme="minorHAnsi" w:cstheme="minorHAnsi"/>
          </w:rPr>
          <w:t>is readily available for free on the Internet</w:t>
        </w:r>
      </w:hyperlink>
      <w:r w:rsidRPr="00E22FA2">
        <w:rPr>
          <w:rFonts w:asciiTheme="minorHAnsi" w:hAnsiTheme="minorHAnsi" w:cstheme="minorHAnsi"/>
          <w:color w:val="0E101A"/>
        </w:rPr>
        <w:t xml:space="preserve">. Also, students may be interested to know that the story crops up in a wide variety of places today. David Brooks centered a </w:t>
      </w:r>
      <w:hyperlink r:id="rId8" w:history="1">
        <w:r w:rsidRPr="00E22FA2">
          <w:rPr>
            <w:rStyle w:val="Hyperlink"/>
            <w:rFonts w:asciiTheme="minorHAnsi" w:hAnsiTheme="minorHAnsi" w:cstheme="minorHAnsi"/>
          </w:rPr>
          <w:t>2015 New York Times op-ed</w:t>
        </w:r>
      </w:hyperlink>
      <w:r w:rsidRPr="00E22FA2">
        <w:rPr>
          <w:rFonts w:asciiTheme="minorHAnsi" w:hAnsiTheme="minorHAnsi" w:cstheme="minorHAnsi"/>
          <w:color w:val="0E101A"/>
        </w:rPr>
        <w:t xml:space="preserve"> around "Omelas." There is also lots of good visual material for lectures. The South Korean boy band BTS referenced "Omelas" in a </w:t>
      </w:r>
      <w:hyperlink r:id="rId9" w:history="1">
        <w:r w:rsidRPr="00E22FA2">
          <w:rPr>
            <w:rStyle w:val="Hyperlink"/>
            <w:rFonts w:asciiTheme="minorHAnsi" w:hAnsiTheme="minorHAnsi" w:cstheme="minorHAnsi"/>
          </w:rPr>
          <w:t>2017 music video</w:t>
        </w:r>
      </w:hyperlink>
      <w:r w:rsidRPr="00E22FA2">
        <w:rPr>
          <w:rFonts w:asciiTheme="minorHAnsi" w:hAnsiTheme="minorHAnsi" w:cstheme="minorHAnsi"/>
          <w:color w:val="0E101A"/>
        </w:rPr>
        <w:t xml:space="preserve"> with over 279 million views. Also, see </w:t>
      </w:r>
      <w:proofErr w:type="gramStart"/>
      <w:r w:rsidRPr="00E22FA2">
        <w:rPr>
          <w:rFonts w:asciiTheme="minorHAnsi" w:hAnsiTheme="minorHAnsi" w:cstheme="minorHAnsi"/>
          <w:color w:val="0E101A"/>
        </w:rPr>
        <w:t>lets</w:t>
      </w:r>
      <w:proofErr w:type="gramEnd"/>
      <w:r w:rsidRPr="00E22FA2">
        <w:rPr>
          <w:rFonts w:asciiTheme="minorHAnsi" w:hAnsiTheme="minorHAnsi" w:cstheme="minorHAnsi"/>
          <w:color w:val="0E101A"/>
        </w:rPr>
        <w:t xml:space="preserve"> go north's stunning </w:t>
      </w:r>
      <w:hyperlink r:id="rId10" w:history="1">
        <w:r w:rsidRPr="00E22FA2">
          <w:rPr>
            <w:rStyle w:val="Hyperlink"/>
            <w:rFonts w:asciiTheme="minorHAnsi" w:hAnsiTheme="minorHAnsi" w:cstheme="minorHAnsi"/>
          </w:rPr>
          <w:t>"BTS | The Ones Who Walk Away from Omelas: A Short Story." </w:t>
        </w:r>
      </w:hyperlink>
    </w:p>
    <w:p w14:paraId="43BE9763"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p>
    <w:p w14:paraId="01C299A5"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r w:rsidRPr="00E22FA2">
        <w:rPr>
          <w:rFonts w:asciiTheme="minorHAnsi" w:hAnsiTheme="minorHAnsi" w:cstheme="minorHAnsi"/>
          <w:color w:val="0E101A"/>
        </w:rPr>
        <w:t>For more on how to teach the social contract using "Omelas," check out my article "Literary Devices: Teaching Social Contract Theory with a Short Story" in </w:t>
      </w:r>
      <w:r w:rsidRPr="00E22FA2">
        <w:rPr>
          <w:rStyle w:val="Emphasis"/>
          <w:rFonts w:asciiTheme="minorHAnsi" w:hAnsiTheme="minorHAnsi" w:cstheme="minorHAnsi"/>
          <w:color w:val="0E101A"/>
        </w:rPr>
        <w:t>The Journal of Political Science Education</w:t>
      </w:r>
      <w:r w:rsidRPr="00E22FA2">
        <w:rPr>
          <w:rFonts w:asciiTheme="minorHAnsi" w:hAnsiTheme="minorHAnsi" w:cstheme="minorHAnsi"/>
          <w:color w:val="0E101A"/>
        </w:rPr>
        <w:t xml:space="preserve">. In it, I cover consent, dissent, and timely issues such as COVID-19 and freedom of movement. I also offer a complete teaching guide for one or several classes on the social contract. My "toolbox" of pedagogical products includes </w:t>
      </w:r>
      <w:r w:rsidRPr="00E22FA2">
        <w:rPr>
          <w:rFonts w:asciiTheme="minorHAnsi" w:hAnsiTheme="minorHAnsi" w:cstheme="minorHAnsi"/>
          <w:color w:val="0E101A"/>
        </w:rPr>
        <w:lastRenderedPageBreak/>
        <w:t>lecture material, a classroom exercise, learning objectives, and innovative adaptations for real-time virtual classrooms. </w:t>
      </w:r>
    </w:p>
    <w:p w14:paraId="218CF8E7"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p>
    <w:p w14:paraId="383584F8" w14:textId="77777777" w:rsidR="00E22FA2" w:rsidRPr="00E22FA2" w:rsidRDefault="00E22FA2" w:rsidP="00E22FA2">
      <w:pPr>
        <w:pStyle w:val="NormalWeb"/>
        <w:spacing w:before="0" w:beforeAutospacing="0" w:after="0" w:afterAutospacing="0"/>
        <w:ind w:left="720"/>
        <w:rPr>
          <w:rFonts w:asciiTheme="minorHAnsi" w:hAnsiTheme="minorHAnsi" w:cstheme="minorHAnsi"/>
          <w:color w:val="0E101A"/>
        </w:rPr>
      </w:pPr>
      <w:r w:rsidRPr="00E22FA2">
        <w:rPr>
          <w:rFonts w:asciiTheme="minorHAnsi" w:hAnsiTheme="minorHAnsi" w:cstheme="minorHAnsi"/>
          <w:color w:val="0E101A"/>
        </w:rPr>
        <w:t xml:space="preserve">If you use "Omelas" in your classroom, please let me know at </w:t>
      </w:r>
      <w:hyperlink r:id="rId11" w:history="1">
        <w:r w:rsidRPr="00E22FA2">
          <w:rPr>
            <w:rStyle w:val="Hyperlink"/>
            <w:rFonts w:asciiTheme="minorHAnsi" w:hAnsiTheme="minorHAnsi" w:cstheme="minorHAnsi"/>
          </w:rPr>
          <w:t>jennetk@asu.edu</w:t>
        </w:r>
      </w:hyperlink>
      <w:r w:rsidRPr="00E22FA2">
        <w:rPr>
          <w:rFonts w:asciiTheme="minorHAnsi" w:hAnsiTheme="minorHAnsi" w:cstheme="minorHAnsi"/>
          <w:color w:val="0E101A"/>
        </w:rPr>
        <w:t xml:space="preserve">. Le </w:t>
      </w:r>
      <w:proofErr w:type="spellStart"/>
      <w:r w:rsidRPr="00E22FA2">
        <w:rPr>
          <w:rFonts w:asciiTheme="minorHAnsi" w:hAnsiTheme="minorHAnsi" w:cstheme="minorHAnsi"/>
          <w:color w:val="0E101A"/>
        </w:rPr>
        <w:t>Guin</w:t>
      </w:r>
      <w:proofErr w:type="spellEnd"/>
      <w:r w:rsidRPr="00E22FA2">
        <w:rPr>
          <w:rFonts w:asciiTheme="minorHAnsi" w:hAnsiTheme="minorHAnsi" w:cstheme="minorHAnsi"/>
          <w:color w:val="0E101A"/>
        </w:rPr>
        <w:t xml:space="preserve"> was rightfully proud of the capacity of "Omelas" to goad and provoke. She delighted in its "long and happy career of being used by teachers to upset students." I hope that this long and happy career will continue in your political science classes.  </w:t>
      </w:r>
    </w:p>
    <w:p w14:paraId="783B00C5" w14:textId="77777777" w:rsidR="00E22FA2" w:rsidRPr="00E22FA2" w:rsidRDefault="00E22FA2" w:rsidP="00E22FA2">
      <w:pPr>
        <w:spacing w:line="240" w:lineRule="auto"/>
        <w:ind w:left="720"/>
        <w:rPr>
          <w:rFonts w:cstheme="minorHAnsi"/>
        </w:rPr>
      </w:pPr>
    </w:p>
    <w:p w14:paraId="0A998E3D" w14:textId="77777777" w:rsidR="00E22FA2" w:rsidRPr="00E22FA2" w:rsidRDefault="00E22FA2" w:rsidP="00E22FA2">
      <w:pPr>
        <w:spacing w:line="240" w:lineRule="auto"/>
        <w:ind w:left="720"/>
        <w:rPr>
          <w:rFonts w:cstheme="minorHAnsi"/>
        </w:rPr>
      </w:pPr>
    </w:p>
    <w:p w14:paraId="469DC2B8" w14:textId="77777777" w:rsidR="00925C57" w:rsidRPr="000546C1" w:rsidRDefault="00925C57" w:rsidP="00925C57">
      <w:pPr>
        <w:rPr>
          <w:rFonts w:asciiTheme="majorHAnsi" w:hAnsiTheme="majorHAnsi" w:cstheme="majorHAnsi"/>
          <w:bCs/>
          <w:sz w:val="24"/>
          <w:szCs w:val="24"/>
        </w:rPr>
      </w:pPr>
      <w:r w:rsidRPr="000546C1">
        <w:rPr>
          <w:rFonts w:asciiTheme="majorHAnsi" w:hAnsiTheme="majorHAnsi" w:cstheme="majorHAnsi"/>
          <w:bCs/>
          <w:sz w:val="24"/>
          <w:szCs w:val="24"/>
        </w:rPr>
        <w:t xml:space="preserve">Learning Objectives: </w:t>
      </w:r>
    </w:p>
    <w:p w14:paraId="2D43F6A5" w14:textId="77777777" w:rsidR="00925C57" w:rsidRPr="00B37FE0" w:rsidRDefault="00925C57" w:rsidP="00925C57">
      <w:pPr>
        <w:pStyle w:val="ListParagraph"/>
        <w:numPr>
          <w:ilvl w:val="0"/>
          <w:numId w:val="1"/>
        </w:numPr>
        <w:spacing w:line="480" w:lineRule="auto"/>
        <w:rPr>
          <w:rFonts w:cstheme="minorHAnsi"/>
          <w:b/>
        </w:rPr>
      </w:pPr>
      <w:r w:rsidRPr="00B37FE0">
        <w:rPr>
          <w:rFonts w:cstheme="minorHAnsi"/>
        </w:rPr>
        <w:t xml:space="preserve">Describe consent and/or dissent in “Omelas." </w:t>
      </w:r>
    </w:p>
    <w:p w14:paraId="2359DDB4" w14:textId="77777777" w:rsidR="00925C57" w:rsidRPr="00B37FE0" w:rsidRDefault="00925C57" w:rsidP="00925C57">
      <w:pPr>
        <w:pStyle w:val="ListParagraph"/>
        <w:numPr>
          <w:ilvl w:val="0"/>
          <w:numId w:val="1"/>
        </w:numPr>
        <w:spacing w:line="480" w:lineRule="auto"/>
        <w:rPr>
          <w:rFonts w:cstheme="minorHAnsi"/>
          <w:b/>
        </w:rPr>
      </w:pPr>
      <w:r w:rsidRPr="00B37FE0">
        <w:rPr>
          <w:rFonts w:cstheme="minorHAnsi"/>
        </w:rPr>
        <w:t>Compare consent and/or dissent in "Omelas" to canonical texts in the social contract tradition.</w:t>
      </w:r>
    </w:p>
    <w:p w14:paraId="499AF9FD" w14:textId="77777777" w:rsidR="00925C57" w:rsidRPr="00B37FE0" w:rsidRDefault="00925C57" w:rsidP="00925C57">
      <w:pPr>
        <w:pStyle w:val="ListParagraph"/>
        <w:numPr>
          <w:ilvl w:val="0"/>
          <w:numId w:val="1"/>
        </w:numPr>
        <w:spacing w:line="480" w:lineRule="auto"/>
        <w:rPr>
          <w:rFonts w:cstheme="minorHAnsi"/>
          <w:b/>
        </w:rPr>
      </w:pPr>
      <w:r w:rsidRPr="00B37FE0">
        <w:rPr>
          <w:rFonts w:cstheme="minorHAnsi"/>
        </w:rPr>
        <w:t>Demonstrate a capacity to examine literary or cultural artifacts through a theoretical lens.</w:t>
      </w:r>
    </w:p>
    <w:p w14:paraId="59753035" w14:textId="77777777" w:rsidR="00925C57" w:rsidRPr="00B37FE0" w:rsidRDefault="00925C57" w:rsidP="00925C57">
      <w:pPr>
        <w:pStyle w:val="ListParagraph"/>
        <w:numPr>
          <w:ilvl w:val="0"/>
          <w:numId w:val="1"/>
        </w:numPr>
        <w:spacing w:line="480" w:lineRule="auto"/>
        <w:rPr>
          <w:rFonts w:cstheme="minorHAnsi"/>
          <w:b/>
        </w:rPr>
      </w:pPr>
      <w:r w:rsidRPr="00B37FE0">
        <w:rPr>
          <w:rFonts w:cstheme="minorHAnsi"/>
        </w:rPr>
        <w:t>Evaluate the legitimacy/effectiveness of consent/dissent in "Omelas."</w:t>
      </w:r>
    </w:p>
    <w:p w14:paraId="7FC73E29" w14:textId="77777777" w:rsidR="00925C57" w:rsidRPr="00B37FE0" w:rsidRDefault="00925C57" w:rsidP="00925C57">
      <w:pPr>
        <w:pStyle w:val="ListParagraph"/>
        <w:numPr>
          <w:ilvl w:val="0"/>
          <w:numId w:val="1"/>
        </w:numPr>
        <w:spacing w:line="480" w:lineRule="auto"/>
        <w:rPr>
          <w:rFonts w:cstheme="minorHAnsi"/>
          <w:b/>
        </w:rPr>
      </w:pPr>
      <w:r w:rsidRPr="00B37FE0">
        <w:rPr>
          <w:rFonts w:cstheme="minorHAnsi"/>
        </w:rPr>
        <w:t>Justify reflective judgments about moral goods.</w:t>
      </w:r>
    </w:p>
    <w:p w14:paraId="19A8B417" w14:textId="77777777" w:rsidR="00925C57" w:rsidRPr="00B37FE0" w:rsidRDefault="00925C57" w:rsidP="00925C57">
      <w:pPr>
        <w:spacing w:line="480" w:lineRule="auto"/>
        <w:ind w:firstLine="720"/>
        <w:rPr>
          <w:rFonts w:cstheme="minorHAnsi"/>
          <w:sz w:val="24"/>
          <w:szCs w:val="24"/>
        </w:rPr>
      </w:pPr>
    </w:p>
    <w:p w14:paraId="184C6922" w14:textId="77777777" w:rsidR="000546C1" w:rsidRDefault="00925C57" w:rsidP="000546C1">
      <w:pPr>
        <w:rPr>
          <w:rFonts w:asciiTheme="majorHAnsi" w:hAnsiTheme="majorHAnsi" w:cstheme="majorHAnsi"/>
          <w:bCs/>
          <w:sz w:val="24"/>
          <w:szCs w:val="24"/>
        </w:rPr>
      </w:pPr>
      <w:r w:rsidRPr="000546C1">
        <w:rPr>
          <w:rFonts w:asciiTheme="majorHAnsi" w:hAnsiTheme="majorHAnsi" w:cstheme="majorHAnsi"/>
          <w:bCs/>
          <w:sz w:val="24"/>
          <w:szCs w:val="24"/>
        </w:rPr>
        <w:t xml:space="preserve">Classroom Activity: </w:t>
      </w:r>
    </w:p>
    <w:p w14:paraId="573FDB40" w14:textId="78EF884A" w:rsidR="00925C57" w:rsidRPr="000546C1" w:rsidRDefault="00925C57" w:rsidP="000546C1">
      <w:pPr>
        <w:ind w:left="720"/>
        <w:rPr>
          <w:rFonts w:asciiTheme="majorHAnsi" w:hAnsiTheme="majorHAnsi" w:cstheme="majorHAnsi"/>
          <w:bCs/>
          <w:sz w:val="24"/>
          <w:szCs w:val="24"/>
        </w:rPr>
      </w:pPr>
      <w:r w:rsidRPr="00B37FE0">
        <w:rPr>
          <w:rFonts w:cstheme="minorHAnsi"/>
          <w:sz w:val="24"/>
          <w:szCs w:val="24"/>
        </w:rPr>
        <w:t xml:space="preserve">I’ve had great success with this opening classroom activity, which I adapted from Peter Frederick’s marvelous </w:t>
      </w:r>
      <w:hyperlink r:id="rId12" w:history="1">
        <w:r w:rsidRPr="0069142E">
          <w:rPr>
            <w:rStyle w:val="Hyperlink"/>
            <w:rFonts w:cstheme="minorHAnsi"/>
            <w:sz w:val="24"/>
            <w:szCs w:val="24"/>
          </w:rPr>
          <w:t>“The Dreaded Discussion: Ten Ways to Start”</w:t>
        </w:r>
      </w:hyperlink>
      <w:r w:rsidRPr="00B37FE0">
        <w:rPr>
          <w:rFonts w:cstheme="minorHAnsi"/>
          <w:sz w:val="24"/>
          <w:szCs w:val="24"/>
        </w:rPr>
        <w:t xml:space="preserve"> </w:t>
      </w:r>
      <w:r w:rsidRPr="00B37FE0">
        <w:rPr>
          <w:rFonts w:cstheme="minorHAnsi"/>
          <w:sz w:val="24"/>
          <w:szCs w:val="24"/>
        </w:rPr>
        <w:fldChar w:fldCharType="begin"/>
      </w:r>
      <w:r w:rsidRPr="00B37FE0">
        <w:rPr>
          <w:rFonts w:cstheme="minorHAnsi"/>
          <w:sz w:val="24"/>
          <w:szCs w:val="24"/>
        </w:rPr>
        <w:instrText xml:space="preserve"> ADDIN EN.CITE &lt;EndNote&gt;&lt;Cite&gt;&lt;Author&gt;Frederick&lt;/Author&gt;&lt;Year&gt;2020&lt;/Year&gt;&lt;RecNum&gt;2854&lt;/RecNum&gt;&lt;DisplayText&gt;(Frederick 2020)&lt;/DisplayText&gt;&lt;record&gt;&lt;rec-number&gt;2854&lt;/rec-number&gt;&lt;foreign-keys&gt;&lt;key app="EN" db-id="rezws92erxwfw7etweqp025yr2fxsaxzzfaa" timestamp="1593725253" guid="a9856617-c555-4c4d-9a93-f79ac63aa955"&gt;2854&lt;/key&gt;&lt;/foreign-keys&gt;&lt;ref-type name="Web Page"&gt;12&lt;/ref-type&gt;&lt;contributors&gt;&lt;authors&gt;&lt;author&gt;Frederick, Peter&lt;/author&gt;&lt;/authors&gt;&lt;/contributors&gt;&lt;titles&gt;&lt;title&gt;The Dreaded Discussion: Ten Ways to Start&lt;/title&gt;&lt;/titles&gt;&lt;volume&gt;2020&lt;/volume&gt;&lt;number&gt;July 2, 2020&lt;/number&gt;&lt;dates&gt;&lt;year&gt;2020&lt;/year&gt;&lt;/dates&gt;&lt;urls&gt;&lt;related-urls&gt;&lt;url&gt;https://sphweb.bumc.bu.edu/otlt/teachingLibrary/Discussion/The_Dreaded_Discussion.pdf&lt;/url&gt;&lt;/related-urls&gt;&lt;/urls&gt;&lt;/record&gt;&lt;/Cite&gt;&lt;/EndNote&gt;</w:instrText>
      </w:r>
      <w:r w:rsidRPr="00B37FE0">
        <w:rPr>
          <w:rFonts w:cstheme="minorHAnsi"/>
          <w:sz w:val="24"/>
          <w:szCs w:val="24"/>
        </w:rPr>
        <w:fldChar w:fldCharType="separate"/>
      </w:r>
      <w:r w:rsidRPr="00B37FE0">
        <w:rPr>
          <w:rFonts w:cstheme="minorHAnsi"/>
          <w:noProof/>
          <w:sz w:val="24"/>
          <w:szCs w:val="24"/>
        </w:rPr>
        <w:t>(Frederick 2020)</w:t>
      </w:r>
      <w:r w:rsidRPr="00B37FE0">
        <w:rPr>
          <w:rFonts w:cstheme="minorHAnsi"/>
          <w:sz w:val="24"/>
          <w:szCs w:val="24"/>
        </w:rPr>
        <w:fldChar w:fldCharType="end"/>
      </w:r>
      <w:r w:rsidRPr="00B37FE0">
        <w:rPr>
          <w:rFonts w:cstheme="minorHAnsi"/>
          <w:sz w:val="24"/>
          <w:szCs w:val="24"/>
        </w:rPr>
        <w:t>.  This is an activity that generates wide-spread, even eager participation. It also creates connections among students, especially those drawn to the same image or theme.</w:t>
      </w:r>
    </w:p>
    <w:p w14:paraId="24C27271" w14:textId="77777777" w:rsidR="000546C1" w:rsidRDefault="000546C1" w:rsidP="000546C1">
      <w:pPr>
        <w:spacing w:after="0" w:line="240" w:lineRule="auto"/>
        <w:ind w:left="720" w:firstLine="720"/>
        <w:rPr>
          <w:rFonts w:cstheme="minorHAnsi"/>
          <w:sz w:val="24"/>
          <w:szCs w:val="24"/>
        </w:rPr>
      </w:pPr>
    </w:p>
    <w:p w14:paraId="577AFE09" w14:textId="77777777" w:rsidR="000546C1" w:rsidRDefault="00925C57" w:rsidP="000546C1">
      <w:pPr>
        <w:spacing w:after="0" w:line="240" w:lineRule="auto"/>
        <w:ind w:left="720"/>
        <w:rPr>
          <w:rFonts w:cstheme="minorHAnsi"/>
          <w:sz w:val="24"/>
          <w:szCs w:val="24"/>
        </w:rPr>
      </w:pPr>
      <w:r w:rsidRPr="00B37FE0">
        <w:rPr>
          <w:rFonts w:cstheme="minorHAnsi"/>
          <w:sz w:val="24"/>
          <w:szCs w:val="24"/>
        </w:rPr>
        <w:t xml:space="preserve">Ask students to jot down a concrete image that stuck with them from "Omelas." The students don't have to remember the image perfectly; this is not a test of their memory. The idea is to tap into something, big or small, that they remember. The story is short, and it is brimming with memorable images, so most students will come up with something quickly.  As the students share their visions, write their responses down on a white or blackboard. If your class is a blended one with in-person and online students meeting simultaneously, you might use </w:t>
      </w:r>
      <w:r w:rsidRPr="00B37FE0">
        <w:rPr>
          <w:rFonts w:eastAsia="Times New Roman" w:cstheme="minorHAnsi"/>
          <w:color w:val="222222"/>
          <w:sz w:val="24"/>
          <w:szCs w:val="24"/>
          <w:shd w:val="clear" w:color="auto" w:fill="FFFFFF"/>
        </w:rPr>
        <w:t xml:space="preserve">Google </w:t>
      </w:r>
      <w:proofErr w:type="spellStart"/>
      <w:r w:rsidRPr="00B37FE0">
        <w:rPr>
          <w:rFonts w:eastAsia="Times New Roman" w:cstheme="minorHAnsi"/>
          <w:color w:val="222222"/>
          <w:sz w:val="24"/>
          <w:szCs w:val="24"/>
          <w:shd w:val="clear" w:color="auto" w:fill="FFFFFF"/>
        </w:rPr>
        <w:t>Jamboard</w:t>
      </w:r>
      <w:proofErr w:type="spellEnd"/>
      <w:r w:rsidRPr="00B37FE0">
        <w:rPr>
          <w:rFonts w:eastAsia="Times New Roman" w:cstheme="minorHAnsi"/>
          <w:color w:val="222222"/>
          <w:sz w:val="24"/>
          <w:szCs w:val="24"/>
          <w:shd w:val="clear" w:color="auto" w:fill="FFFFFF"/>
        </w:rPr>
        <w:t xml:space="preserve"> to record their answers. Since students' responses may overlap, I find it helpful to ask, "Did anyone else have that </w:t>
      </w:r>
      <w:r w:rsidRPr="00B37FE0">
        <w:rPr>
          <w:rFonts w:eastAsia="Times New Roman" w:cstheme="minorHAnsi"/>
          <w:color w:val="222222"/>
          <w:sz w:val="24"/>
          <w:szCs w:val="24"/>
          <w:shd w:val="clear" w:color="auto" w:fill="FFFFFF"/>
        </w:rPr>
        <w:lastRenderedPageBreak/>
        <w:t>image, too, or something close to it?" In my experience, many students will spontaneously volunteer as to why an image stuck with them. At the same time, I do not make this a requirement, and I do not praise students for offering an explanation. I want to keep the expectation low and to be consistent in my requests. Some students may not be willing or able to explain right away why they were drawn to an image.</w:t>
      </w:r>
      <w:r w:rsidRPr="00B37FE0">
        <w:rPr>
          <w:rFonts w:cstheme="minorHAnsi"/>
          <w:sz w:val="24"/>
          <w:szCs w:val="24"/>
        </w:rPr>
        <w:t xml:space="preserve"> </w:t>
      </w:r>
    </w:p>
    <w:p w14:paraId="0CFC5527" w14:textId="77777777" w:rsidR="000546C1" w:rsidRDefault="000546C1" w:rsidP="000546C1">
      <w:pPr>
        <w:spacing w:after="0" w:line="240" w:lineRule="auto"/>
        <w:ind w:left="720"/>
        <w:rPr>
          <w:rFonts w:cstheme="minorHAnsi"/>
          <w:sz w:val="24"/>
          <w:szCs w:val="24"/>
        </w:rPr>
      </w:pPr>
    </w:p>
    <w:p w14:paraId="47CB1D76" w14:textId="24708DCA" w:rsidR="00925C57" w:rsidRPr="00B37FE0" w:rsidRDefault="00925C57" w:rsidP="000546C1">
      <w:pPr>
        <w:spacing w:after="0" w:line="240" w:lineRule="auto"/>
        <w:ind w:left="720"/>
        <w:rPr>
          <w:rFonts w:cstheme="minorHAnsi"/>
          <w:sz w:val="24"/>
          <w:szCs w:val="24"/>
        </w:rPr>
      </w:pPr>
      <w:r w:rsidRPr="00B37FE0">
        <w:rPr>
          <w:rFonts w:eastAsia="Times New Roman" w:cstheme="minorHAnsi"/>
          <w:color w:val="222222"/>
          <w:sz w:val="24"/>
          <w:szCs w:val="24"/>
          <w:shd w:val="clear" w:color="auto" w:fill="FFFFFF"/>
        </w:rPr>
        <w:t xml:space="preserve">Once we have a full list of images, I ask the class to look for themes. I will write these in bold or in a different color on the board / </w:t>
      </w:r>
      <w:proofErr w:type="spellStart"/>
      <w:r w:rsidRPr="00B37FE0">
        <w:rPr>
          <w:rFonts w:eastAsia="Times New Roman" w:cstheme="minorHAnsi"/>
          <w:color w:val="222222"/>
          <w:sz w:val="24"/>
          <w:szCs w:val="24"/>
          <w:shd w:val="clear" w:color="auto" w:fill="FFFFFF"/>
        </w:rPr>
        <w:t>Jamboard</w:t>
      </w:r>
      <w:proofErr w:type="spellEnd"/>
      <w:r w:rsidRPr="00B37FE0">
        <w:rPr>
          <w:rFonts w:eastAsia="Times New Roman" w:cstheme="minorHAnsi"/>
          <w:color w:val="222222"/>
          <w:sz w:val="24"/>
          <w:szCs w:val="24"/>
          <w:shd w:val="clear" w:color="auto" w:fill="FFFFFF"/>
        </w:rPr>
        <w:t xml:space="preserve">. From this list of motifs, it is straightforward to segue into your discussion questions.   </w:t>
      </w:r>
    </w:p>
    <w:p w14:paraId="28D27983" w14:textId="7CE280C4" w:rsidR="00E22FA2" w:rsidRDefault="00E22FA2" w:rsidP="000546C1">
      <w:pPr>
        <w:tabs>
          <w:tab w:val="left" w:pos="1559"/>
        </w:tabs>
        <w:spacing w:after="0" w:line="240" w:lineRule="auto"/>
        <w:rPr>
          <w:rFonts w:cstheme="minorHAnsi"/>
        </w:rPr>
      </w:pPr>
    </w:p>
    <w:p w14:paraId="01DA4F3D" w14:textId="069470E2" w:rsidR="000546C1" w:rsidRDefault="000546C1" w:rsidP="000546C1">
      <w:pPr>
        <w:spacing w:after="0" w:line="240" w:lineRule="auto"/>
        <w:rPr>
          <w:rFonts w:asciiTheme="majorHAnsi" w:hAnsiTheme="majorHAnsi" w:cstheme="majorHAnsi"/>
          <w:bCs/>
          <w:sz w:val="24"/>
          <w:szCs w:val="24"/>
        </w:rPr>
      </w:pPr>
      <w:r w:rsidRPr="000546C1">
        <w:rPr>
          <w:rFonts w:asciiTheme="majorHAnsi" w:hAnsiTheme="majorHAnsi" w:cstheme="majorHAnsi"/>
          <w:bCs/>
          <w:sz w:val="24"/>
          <w:szCs w:val="24"/>
        </w:rPr>
        <w:t xml:space="preserve">Discussion Questions: </w:t>
      </w:r>
    </w:p>
    <w:p w14:paraId="07BB37D7" w14:textId="77777777" w:rsidR="000546C1" w:rsidRPr="000546C1" w:rsidRDefault="000546C1" w:rsidP="000546C1">
      <w:pPr>
        <w:spacing w:after="0" w:line="240" w:lineRule="auto"/>
        <w:rPr>
          <w:rFonts w:asciiTheme="majorHAnsi" w:hAnsiTheme="majorHAnsi" w:cstheme="majorHAnsi"/>
          <w:bCs/>
          <w:sz w:val="24"/>
          <w:szCs w:val="24"/>
        </w:rPr>
      </w:pPr>
    </w:p>
    <w:p w14:paraId="7015E96A" w14:textId="2DB4C61B" w:rsidR="000546C1" w:rsidRDefault="000546C1" w:rsidP="000546C1">
      <w:pPr>
        <w:spacing w:after="0" w:line="240" w:lineRule="auto"/>
        <w:ind w:left="360"/>
        <w:rPr>
          <w:rFonts w:cstheme="minorHAnsi"/>
          <w:sz w:val="24"/>
          <w:szCs w:val="24"/>
        </w:rPr>
      </w:pPr>
      <w:r w:rsidRPr="000B4045">
        <w:rPr>
          <w:rFonts w:cstheme="minorHAnsi"/>
          <w:sz w:val="24"/>
          <w:szCs w:val="24"/>
        </w:rPr>
        <w:t xml:space="preserve">Following Bloom’s taxonomy, these discussion questions begin with more basic skills, such as remembering and describing. They advance to higher-order thinking skills, such as analyzing and evaluating. These discussion questions can be used in face-to-face classes and discussion boards in online or hybrid courses.  </w:t>
      </w:r>
    </w:p>
    <w:p w14:paraId="0B20C69D" w14:textId="77777777" w:rsidR="000546C1" w:rsidRPr="000546C1" w:rsidRDefault="000546C1" w:rsidP="000546C1">
      <w:pPr>
        <w:spacing w:after="0" w:line="240" w:lineRule="auto"/>
        <w:ind w:left="360"/>
        <w:rPr>
          <w:rFonts w:cstheme="minorHAnsi"/>
          <w:sz w:val="24"/>
          <w:szCs w:val="24"/>
        </w:rPr>
      </w:pPr>
    </w:p>
    <w:p w14:paraId="13A8755B" w14:textId="77777777" w:rsidR="000546C1" w:rsidRPr="000B4045" w:rsidRDefault="000546C1" w:rsidP="000546C1">
      <w:pPr>
        <w:spacing w:line="480" w:lineRule="auto"/>
        <w:ind w:left="360"/>
        <w:rPr>
          <w:rFonts w:cstheme="minorHAnsi"/>
          <w:b/>
          <w:bCs/>
          <w:sz w:val="24"/>
          <w:szCs w:val="24"/>
          <w:u w:val="single"/>
        </w:rPr>
      </w:pPr>
      <w:r w:rsidRPr="000B4045">
        <w:rPr>
          <w:rFonts w:cstheme="minorHAnsi"/>
          <w:b/>
          <w:bCs/>
          <w:sz w:val="24"/>
          <w:szCs w:val="24"/>
          <w:u w:val="single"/>
        </w:rPr>
        <w:t>Consent: Hobbes, Locke, or Rousseau</w:t>
      </w:r>
    </w:p>
    <w:p w14:paraId="40AAE2A0" w14:textId="77777777" w:rsidR="000546C1" w:rsidRPr="000B4045" w:rsidRDefault="000546C1" w:rsidP="000546C1">
      <w:pPr>
        <w:pStyle w:val="ListParagraph"/>
        <w:numPr>
          <w:ilvl w:val="0"/>
          <w:numId w:val="2"/>
        </w:numPr>
        <w:spacing w:line="480" w:lineRule="auto"/>
        <w:ind w:left="1080"/>
        <w:rPr>
          <w:rFonts w:cstheme="minorHAnsi"/>
        </w:rPr>
      </w:pPr>
      <w:r w:rsidRPr="000B4045">
        <w:rPr>
          <w:rFonts w:cstheme="minorHAnsi"/>
        </w:rPr>
        <w:t xml:space="preserve">The ritual with the children is clearly painful to some of the children and probably their parents. Why do they do it? </w:t>
      </w:r>
    </w:p>
    <w:p w14:paraId="76C4E14C" w14:textId="77777777" w:rsidR="000546C1" w:rsidRPr="000B4045" w:rsidRDefault="000546C1" w:rsidP="000546C1">
      <w:pPr>
        <w:pStyle w:val="ListParagraph"/>
        <w:numPr>
          <w:ilvl w:val="0"/>
          <w:numId w:val="2"/>
        </w:numPr>
        <w:spacing w:line="480" w:lineRule="auto"/>
        <w:ind w:left="1080"/>
        <w:rPr>
          <w:rFonts w:cstheme="minorHAnsi"/>
        </w:rPr>
      </w:pPr>
      <w:r w:rsidRPr="000B4045">
        <w:rPr>
          <w:rFonts w:cstheme="minorHAnsi"/>
        </w:rPr>
        <w:t xml:space="preserve">Describe how the process of consent in Omelas is similar to consent in Hobbes/Locke/Rousseau. Describe how it is different. </w:t>
      </w:r>
    </w:p>
    <w:p w14:paraId="7A042441" w14:textId="77777777" w:rsidR="000546C1" w:rsidRPr="000B4045" w:rsidRDefault="000546C1" w:rsidP="000546C1">
      <w:pPr>
        <w:pStyle w:val="ListParagraph"/>
        <w:numPr>
          <w:ilvl w:val="0"/>
          <w:numId w:val="2"/>
        </w:numPr>
        <w:spacing w:line="480" w:lineRule="auto"/>
        <w:ind w:left="1080"/>
        <w:rPr>
          <w:rFonts w:cstheme="minorHAnsi"/>
        </w:rPr>
      </w:pPr>
      <w:r w:rsidRPr="000B4045">
        <w:rPr>
          <w:rFonts w:cstheme="minorHAnsi"/>
        </w:rPr>
        <w:t>Analyze how race, ethnicity, class, gender, or religion influence consent in “Omelas” / Hobbes / Locke / Rousseau? Do you think some individuals or groups might be less willing to consent than others? [This question can be modified for exit / walking away.]</w:t>
      </w:r>
    </w:p>
    <w:p w14:paraId="435412C0" w14:textId="45188140" w:rsidR="000546C1" w:rsidRPr="000B4045" w:rsidRDefault="000546C1" w:rsidP="000546C1">
      <w:pPr>
        <w:spacing w:line="480" w:lineRule="auto"/>
        <w:ind w:left="360"/>
        <w:rPr>
          <w:rFonts w:cstheme="minorHAnsi"/>
          <w:b/>
          <w:bCs/>
          <w:sz w:val="24"/>
          <w:szCs w:val="24"/>
          <w:u w:val="single"/>
        </w:rPr>
      </w:pPr>
      <w:r w:rsidRPr="000B4045">
        <w:rPr>
          <w:rFonts w:cstheme="minorHAnsi"/>
          <w:b/>
          <w:bCs/>
          <w:sz w:val="24"/>
          <w:szCs w:val="24"/>
          <w:u w:val="single"/>
        </w:rPr>
        <w:t>Tacit Consent: Locke and Hume</w:t>
      </w:r>
    </w:p>
    <w:p w14:paraId="0B603595" w14:textId="77777777" w:rsidR="000546C1" w:rsidRPr="000B4045" w:rsidRDefault="000546C1" w:rsidP="000546C1">
      <w:pPr>
        <w:pStyle w:val="ListParagraph"/>
        <w:numPr>
          <w:ilvl w:val="0"/>
          <w:numId w:val="3"/>
        </w:numPr>
        <w:spacing w:line="480" w:lineRule="auto"/>
        <w:ind w:left="1080"/>
        <w:rPr>
          <w:rFonts w:cstheme="minorHAnsi"/>
        </w:rPr>
      </w:pPr>
      <w:r w:rsidRPr="000B4045">
        <w:rPr>
          <w:rFonts w:cstheme="minorHAnsi"/>
        </w:rPr>
        <w:t xml:space="preserve">Locke introduced tacit consent, which means demonstrating support for a social contract through everyday actions. Locke gave examples like owning land, walking </w:t>
      </w:r>
      <w:r w:rsidRPr="000B4045">
        <w:rPr>
          <w:rFonts w:cstheme="minorHAnsi"/>
        </w:rPr>
        <w:lastRenderedPageBreak/>
        <w:t>down the highway, or inheriting property. Describe examples of tacit consent in “Omelas.”</w:t>
      </w:r>
    </w:p>
    <w:p w14:paraId="04F442D7" w14:textId="77777777" w:rsidR="000546C1" w:rsidRPr="000B4045" w:rsidRDefault="000546C1" w:rsidP="000546C1">
      <w:pPr>
        <w:pStyle w:val="ListParagraph"/>
        <w:numPr>
          <w:ilvl w:val="0"/>
          <w:numId w:val="3"/>
        </w:numPr>
        <w:spacing w:line="480" w:lineRule="auto"/>
        <w:ind w:left="1080"/>
        <w:rPr>
          <w:rFonts w:cstheme="minorHAnsi"/>
        </w:rPr>
      </w:pPr>
      <w:r w:rsidRPr="000B4045">
        <w:rPr>
          <w:rFonts w:cstheme="minorHAnsi"/>
        </w:rPr>
        <w:t>Take a stand on whether any of these actions might meaningfully demonstrate agreement with social and political arrangements. Why or why not?</w:t>
      </w:r>
    </w:p>
    <w:p w14:paraId="29B4DDF1" w14:textId="77777777" w:rsidR="000546C1" w:rsidRPr="000B4045" w:rsidRDefault="000546C1" w:rsidP="000546C1">
      <w:pPr>
        <w:pStyle w:val="ListParagraph"/>
        <w:numPr>
          <w:ilvl w:val="0"/>
          <w:numId w:val="3"/>
        </w:numPr>
        <w:spacing w:line="480" w:lineRule="auto"/>
        <w:ind w:left="1080"/>
        <w:rPr>
          <w:rFonts w:cstheme="minorHAnsi"/>
          <w:u w:val="single"/>
        </w:rPr>
      </w:pPr>
      <w:r w:rsidRPr="000B4045">
        <w:rPr>
          <w:rFonts w:cstheme="minorHAnsi"/>
        </w:rPr>
        <w:t xml:space="preserve">Taking issue with Locke's notion of tacit consent, Hume argued that it would be difficult for poor or working-class individuals to leave a society they did not like. Analyze how class might influence exit in in Omelas and/or in our current political world. </w:t>
      </w:r>
    </w:p>
    <w:p w14:paraId="5F792AD4" w14:textId="77777777" w:rsidR="000546C1" w:rsidRPr="000B4045" w:rsidRDefault="000546C1" w:rsidP="000546C1">
      <w:pPr>
        <w:spacing w:line="480" w:lineRule="auto"/>
        <w:ind w:left="360"/>
        <w:rPr>
          <w:rFonts w:cstheme="minorHAnsi"/>
          <w:b/>
          <w:bCs/>
          <w:sz w:val="24"/>
          <w:szCs w:val="24"/>
          <w:u w:val="single"/>
        </w:rPr>
      </w:pPr>
      <w:r w:rsidRPr="000B4045">
        <w:rPr>
          <w:rFonts w:cstheme="minorHAnsi"/>
          <w:b/>
          <w:bCs/>
          <w:sz w:val="24"/>
          <w:szCs w:val="24"/>
          <w:u w:val="single"/>
        </w:rPr>
        <w:t>Political Obligations Today</w:t>
      </w:r>
    </w:p>
    <w:p w14:paraId="466CE0B4"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[Assign students to read “Omelas” and read about the “Hometown Fellows” program at “Lead for America” online.] "Omelas" raises questions about our political obligations to the communities that raised us. Do you have a hometown that you are particularly attached to, or did you move around a lot growing up?</w:t>
      </w:r>
    </w:p>
    <w:p w14:paraId="59F5437D"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If you have a hometown, analyze if you owe something to the people or the place?</w:t>
      </w:r>
    </w:p>
    <w:p w14:paraId="312AF40B"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Analyze the efficacy or political significance of the “Hometown Fellow” program at “Lead for America.”</w:t>
      </w:r>
    </w:p>
    <w:p w14:paraId="64566DF0" w14:textId="77777777" w:rsidR="000546C1" w:rsidRPr="000B4045" w:rsidRDefault="000546C1" w:rsidP="000546C1">
      <w:pPr>
        <w:spacing w:line="480" w:lineRule="auto"/>
        <w:ind w:left="360"/>
        <w:rPr>
          <w:rFonts w:cstheme="minorHAnsi"/>
          <w:b/>
          <w:bCs/>
          <w:sz w:val="24"/>
          <w:szCs w:val="24"/>
          <w:u w:val="single"/>
        </w:rPr>
      </w:pPr>
      <w:r w:rsidRPr="000B4045">
        <w:rPr>
          <w:rFonts w:cstheme="minorHAnsi"/>
          <w:b/>
          <w:bCs/>
          <w:sz w:val="24"/>
          <w:szCs w:val="24"/>
          <w:u w:val="single"/>
        </w:rPr>
        <w:t>Freedom of Movement and COVID-19</w:t>
      </w:r>
    </w:p>
    <w:p w14:paraId="62C46D52"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Describe who walks away in "Omelas." Why do they leave, and where do they go?</w:t>
      </w:r>
    </w:p>
    <w:p w14:paraId="24A2DA87"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 xml:space="preserve">Brainstorm examples of movement or exit in contemporary society that, like in “Omelas,” shows a rejection of the existing moral or political order.  </w:t>
      </w:r>
    </w:p>
    <w:p w14:paraId="7FBB8EA8" w14:textId="57055A31" w:rsidR="000546C1" w:rsidRPr="000546C1" w:rsidRDefault="000546C1" w:rsidP="000546C1">
      <w:pPr>
        <w:pStyle w:val="ListParagraph"/>
        <w:numPr>
          <w:ilvl w:val="0"/>
          <w:numId w:val="4"/>
        </w:numPr>
        <w:spacing w:line="480" w:lineRule="auto"/>
        <w:ind w:left="1080"/>
        <w:rPr>
          <w:rFonts w:cstheme="minorHAnsi"/>
        </w:rPr>
      </w:pPr>
      <w:r w:rsidRPr="000B4045">
        <w:rPr>
          <w:rFonts w:cstheme="minorHAnsi"/>
        </w:rPr>
        <w:lastRenderedPageBreak/>
        <w:t xml:space="preserve">“Omelas” assumes that individuals are free to leave the community if they wish. Yet, the current political context is quite different; the global COVID-19 pandemic has severely limited freedom of movement. Analyze why freedom of movement is important in “Omelas.” Analyze whether freedom of movement is crucial in contemporary society.  </w:t>
      </w:r>
    </w:p>
    <w:p w14:paraId="595CB3A6" w14:textId="77777777" w:rsidR="000546C1" w:rsidRPr="000B4045" w:rsidRDefault="000546C1" w:rsidP="000546C1">
      <w:pPr>
        <w:spacing w:line="480" w:lineRule="auto"/>
        <w:ind w:left="360"/>
        <w:rPr>
          <w:rFonts w:cstheme="minorHAnsi"/>
          <w:b/>
          <w:bCs/>
          <w:sz w:val="24"/>
          <w:szCs w:val="24"/>
          <w:u w:val="single"/>
        </w:rPr>
      </w:pPr>
      <w:r w:rsidRPr="000B4045">
        <w:rPr>
          <w:rFonts w:cstheme="minorHAnsi"/>
          <w:b/>
          <w:bCs/>
          <w:sz w:val="24"/>
          <w:szCs w:val="24"/>
          <w:u w:val="single"/>
        </w:rPr>
        <w:t>Exit and Morality</w:t>
      </w:r>
    </w:p>
    <w:p w14:paraId="5464C171"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 xml:space="preserve">A critic might point out that walking away does nothing to help the imprisoned and abused child. Analyze if leaving is still the morally right thing to do. </w:t>
      </w:r>
    </w:p>
    <w:p w14:paraId="385DF999"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Imagine someone you know well permanently left the country. Consider all the groups and organizations that this individual plays a role in, including immediate and extended family, job, volunteer efforts, involvement with religious organizations, and community service. Describe how this person's departure would change the community.</w:t>
      </w:r>
    </w:p>
    <w:p w14:paraId="083D2B7E" w14:textId="77777777" w:rsidR="000546C1" w:rsidRPr="000B4045" w:rsidRDefault="000546C1" w:rsidP="000546C1">
      <w:pPr>
        <w:pStyle w:val="ListParagraph"/>
        <w:numPr>
          <w:ilvl w:val="0"/>
          <w:numId w:val="4"/>
        </w:numPr>
        <w:spacing w:line="480" w:lineRule="auto"/>
        <w:ind w:left="1080"/>
        <w:rPr>
          <w:rFonts w:cstheme="minorHAnsi"/>
        </w:rPr>
      </w:pPr>
      <w:r w:rsidRPr="000B4045">
        <w:rPr>
          <w:rFonts w:cstheme="minorHAnsi"/>
        </w:rPr>
        <w:t xml:space="preserve">Kant wrote that "all politics must bend the knee before the right." In "Omelas," Kant's imperative might mean that the child should be freed despite losing the majority's happiness. Take a stand on whether this would be a moral action.   </w:t>
      </w:r>
    </w:p>
    <w:p w14:paraId="2DBA2A23" w14:textId="77777777" w:rsidR="000546C1" w:rsidRPr="000B4045" w:rsidRDefault="000546C1" w:rsidP="000546C1">
      <w:pPr>
        <w:rPr>
          <w:rFonts w:cstheme="minorHAnsi"/>
          <w:sz w:val="24"/>
          <w:szCs w:val="24"/>
        </w:rPr>
      </w:pPr>
    </w:p>
    <w:p w14:paraId="3430D444" w14:textId="77777777" w:rsidR="000546C1" w:rsidRPr="000546C1" w:rsidRDefault="000546C1" w:rsidP="000546C1">
      <w:pPr>
        <w:spacing w:line="480" w:lineRule="auto"/>
        <w:rPr>
          <w:rFonts w:asciiTheme="majorHAnsi" w:hAnsiTheme="majorHAnsi" w:cstheme="majorHAnsi"/>
          <w:bCs/>
          <w:sz w:val="24"/>
          <w:szCs w:val="24"/>
        </w:rPr>
      </w:pPr>
      <w:r w:rsidRPr="000546C1">
        <w:rPr>
          <w:rFonts w:asciiTheme="majorHAnsi" w:hAnsiTheme="majorHAnsi" w:cstheme="majorHAnsi"/>
          <w:bCs/>
          <w:sz w:val="24"/>
          <w:szCs w:val="24"/>
        </w:rPr>
        <w:t>Additional Resources</w:t>
      </w:r>
    </w:p>
    <w:tbl>
      <w:tblPr>
        <w:tblStyle w:val="TableGrid"/>
        <w:tblW w:w="9360" w:type="dxa"/>
        <w:tblLayout w:type="fixed"/>
        <w:tblLook w:val="04A0" w:firstRow="1" w:lastRow="0" w:firstColumn="1" w:lastColumn="0" w:noHBand="0" w:noVBand="1"/>
      </w:tblPr>
      <w:tblGrid>
        <w:gridCol w:w="1872"/>
        <w:gridCol w:w="1872"/>
        <w:gridCol w:w="1872"/>
        <w:gridCol w:w="1872"/>
        <w:gridCol w:w="1872"/>
      </w:tblGrid>
      <w:tr w:rsidR="000546C1" w:rsidRPr="00075114" w14:paraId="40F60BCF" w14:textId="77777777" w:rsidTr="00CC16D8">
        <w:tc>
          <w:tcPr>
            <w:tcW w:w="1872" w:type="dxa"/>
          </w:tcPr>
          <w:p w14:paraId="504C0F84" w14:textId="77777777" w:rsidR="000546C1" w:rsidRPr="00075114" w:rsidRDefault="000546C1" w:rsidP="00CC16D8">
            <w:pPr>
              <w:rPr>
                <w:rFonts w:cstheme="minorHAnsi"/>
                <w:b/>
                <w:sz w:val="20"/>
              </w:rPr>
            </w:pPr>
            <w:r w:rsidRPr="00075114">
              <w:rPr>
                <w:rFonts w:cstheme="minorHAnsi"/>
                <w:b/>
                <w:sz w:val="20"/>
              </w:rPr>
              <w:t xml:space="preserve">Primary Texts </w:t>
            </w:r>
          </w:p>
        </w:tc>
        <w:tc>
          <w:tcPr>
            <w:tcW w:w="1872" w:type="dxa"/>
          </w:tcPr>
          <w:p w14:paraId="10FC1A7D" w14:textId="77777777" w:rsidR="000546C1" w:rsidRPr="00075114" w:rsidRDefault="000546C1" w:rsidP="00CC16D8">
            <w:pPr>
              <w:rPr>
                <w:rFonts w:cstheme="minorHAnsi"/>
                <w:sz w:val="20"/>
              </w:rPr>
            </w:pPr>
            <w:r w:rsidRPr="00075114">
              <w:rPr>
                <w:rFonts w:cstheme="minorHAnsi"/>
                <w:sz w:val="20"/>
              </w:rPr>
              <w:t xml:space="preserve">Le </w:t>
            </w:r>
            <w:proofErr w:type="spellStart"/>
            <w:r w:rsidRPr="00075114">
              <w:rPr>
                <w:rFonts w:cstheme="minorHAnsi"/>
                <w:sz w:val="20"/>
              </w:rPr>
              <w:t>Guin</w:t>
            </w:r>
            <w:proofErr w:type="spellEnd"/>
            <w:r w:rsidRPr="00075114">
              <w:rPr>
                <w:rFonts w:cstheme="minorHAnsi"/>
                <w:sz w:val="20"/>
              </w:rPr>
              <w:t>, “The Ones Who Walk Away from Omelas”</w:t>
            </w:r>
          </w:p>
          <w:p w14:paraId="3290F797" w14:textId="77777777" w:rsidR="000546C1" w:rsidRPr="00075114" w:rsidRDefault="000546C1" w:rsidP="00CC16D8">
            <w:pPr>
              <w:rPr>
                <w:rFonts w:cstheme="minorHAnsi"/>
                <w:i/>
                <w:sz w:val="20"/>
              </w:rPr>
            </w:pPr>
            <w:r w:rsidRPr="00075114">
              <w:rPr>
                <w:rFonts w:cstheme="minorHAnsi"/>
                <w:i/>
                <w:sz w:val="20"/>
              </w:rPr>
              <w:t xml:space="preserve">The Wind’s Twelve Quarters, 275-284 </w:t>
            </w:r>
          </w:p>
        </w:tc>
        <w:tc>
          <w:tcPr>
            <w:tcW w:w="1872" w:type="dxa"/>
          </w:tcPr>
          <w:p w14:paraId="7E772EF3" w14:textId="77777777" w:rsidR="000546C1" w:rsidRPr="00075114" w:rsidRDefault="000546C1" w:rsidP="00CC16D8">
            <w:pPr>
              <w:rPr>
                <w:rFonts w:cstheme="minorHAnsi"/>
                <w:sz w:val="20"/>
              </w:rPr>
            </w:pPr>
            <w:r w:rsidRPr="00075114">
              <w:rPr>
                <w:rFonts w:cstheme="minorHAnsi"/>
                <w:sz w:val="20"/>
              </w:rPr>
              <w:t xml:space="preserve">Hobbes, </w:t>
            </w:r>
            <w:r w:rsidRPr="00075114">
              <w:rPr>
                <w:rFonts w:cstheme="minorHAnsi"/>
                <w:i/>
                <w:sz w:val="20"/>
              </w:rPr>
              <w:t>Leviathan</w:t>
            </w:r>
            <w:r w:rsidRPr="00075114">
              <w:rPr>
                <w:rFonts w:cstheme="minorHAnsi"/>
                <w:sz w:val="20"/>
              </w:rPr>
              <w:t>, chapter 13-14</w:t>
            </w:r>
          </w:p>
        </w:tc>
        <w:tc>
          <w:tcPr>
            <w:tcW w:w="1872" w:type="dxa"/>
          </w:tcPr>
          <w:p w14:paraId="3D510AFA" w14:textId="77777777" w:rsidR="000546C1" w:rsidRPr="00075114" w:rsidRDefault="000546C1" w:rsidP="00CC16D8">
            <w:pPr>
              <w:rPr>
                <w:rFonts w:cstheme="minorHAnsi"/>
                <w:sz w:val="20"/>
              </w:rPr>
            </w:pPr>
            <w:r w:rsidRPr="00075114">
              <w:rPr>
                <w:rFonts w:cstheme="minorHAnsi"/>
                <w:sz w:val="20"/>
              </w:rPr>
              <w:t xml:space="preserve">Locke, </w:t>
            </w:r>
            <w:r w:rsidRPr="00075114">
              <w:rPr>
                <w:rFonts w:cstheme="minorHAnsi"/>
                <w:i/>
                <w:sz w:val="20"/>
              </w:rPr>
              <w:t>Second Treatise,</w:t>
            </w:r>
            <w:r w:rsidRPr="00075114">
              <w:rPr>
                <w:rFonts w:cstheme="minorHAnsi"/>
                <w:sz w:val="20"/>
              </w:rPr>
              <w:t xml:space="preserve"> ¶ 4-15; 87-89; 119-122 (tacit consent); 222-225 (revolution)</w:t>
            </w:r>
          </w:p>
        </w:tc>
        <w:tc>
          <w:tcPr>
            <w:tcW w:w="1872" w:type="dxa"/>
          </w:tcPr>
          <w:p w14:paraId="691EE578" w14:textId="77777777" w:rsidR="000546C1" w:rsidRPr="00075114" w:rsidRDefault="000546C1" w:rsidP="00CC16D8">
            <w:pPr>
              <w:rPr>
                <w:rFonts w:cstheme="minorHAnsi"/>
                <w:sz w:val="20"/>
              </w:rPr>
            </w:pPr>
            <w:r w:rsidRPr="00075114">
              <w:rPr>
                <w:rFonts w:cstheme="minorHAnsi"/>
                <w:sz w:val="20"/>
              </w:rPr>
              <w:t>Rousseau, Chapter I, III, IV, VI, and VII</w:t>
            </w:r>
          </w:p>
          <w:p w14:paraId="615625D3" w14:textId="77777777" w:rsidR="000546C1" w:rsidRPr="00075114" w:rsidRDefault="000546C1" w:rsidP="00CC16D8">
            <w:pPr>
              <w:rPr>
                <w:rFonts w:cstheme="minorHAnsi"/>
                <w:sz w:val="20"/>
              </w:rPr>
            </w:pPr>
          </w:p>
        </w:tc>
      </w:tr>
      <w:tr w:rsidR="000546C1" w:rsidRPr="00075114" w14:paraId="367BFF6A" w14:textId="77777777" w:rsidTr="00CC16D8">
        <w:trPr>
          <w:trHeight w:val="872"/>
        </w:trPr>
        <w:tc>
          <w:tcPr>
            <w:tcW w:w="1872" w:type="dxa"/>
          </w:tcPr>
          <w:p w14:paraId="3A2FDD37" w14:textId="77777777" w:rsidR="000546C1" w:rsidRPr="00075114" w:rsidRDefault="000546C1" w:rsidP="00CC16D8">
            <w:pPr>
              <w:rPr>
                <w:rFonts w:cstheme="minorHAnsi"/>
                <w:b/>
                <w:sz w:val="20"/>
              </w:rPr>
            </w:pPr>
            <w:r w:rsidRPr="00075114">
              <w:rPr>
                <w:rFonts w:cstheme="minorHAnsi"/>
                <w:b/>
                <w:sz w:val="20"/>
              </w:rPr>
              <w:lastRenderedPageBreak/>
              <w:t>Consent Resources</w:t>
            </w:r>
          </w:p>
          <w:p w14:paraId="594658BA" w14:textId="77777777" w:rsidR="000546C1" w:rsidRPr="00075114" w:rsidRDefault="000546C1" w:rsidP="00CC16D8">
            <w:pPr>
              <w:rPr>
                <w:rFonts w:cstheme="minorHAnsi"/>
                <w:sz w:val="20"/>
              </w:rPr>
            </w:pPr>
          </w:p>
        </w:tc>
        <w:tc>
          <w:tcPr>
            <w:tcW w:w="1872" w:type="dxa"/>
          </w:tcPr>
          <w:p w14:paraId="7AC6B7ED" w14:textId="77777777" w:rsidR="000546C1" w:rsidRPr="00075114" w:rsidRDefault="000546C1" w:rsidP="00CC16D8">
            <w:pPr>
              <w:rPr>
                <w:rFonts w:cstheme="minorHAnsi"/>
                <w:sz w:val="20"/>
                <w:szCs w:val="20"/>
              </w:rPr>
            </w:pPr>
            <w:r w:rsidRPr="00075114">
              <w:rPr>
                <w:rFonts w:cstheme="minorHAnsi"/>
                <w:noProof/>
                <w:sz w:val="20"/>
                <w:szCs w:val="20"/>
              </w:rPr>
              <w:t>Hume, "Of the Original Contract"</w:t>
            </w:r>
          </w:p>
        </w:tc>
        <w:tc>
          <w:tcPr>
            <w:tcW w:w="1872" w:type="dxa"/>
          </w:tcPr>
          <w:p w14:paraId="348AEF91" w14:textId="77777777" w:rsidR="000546C1" w:rsidRPr="00075114" w:rsidRDefault="000546C1" w:rsidP="00CC16D8">
            <w:pPr>
              <w:rPr>
                <w:rFonts w:cstheme="minorHAnsi"/>
                <w:sz w:val="20"/>
              </w:rPr>
            </w:pPr>
            <w:r w:rsidRPr="00075114">
              <w:rPr>
                <w:rFonts w:cstheme="minorHAnsi"/>
                <w:sz w:val="20"/>
              </w:rPr>
              <w:t xml:space="preserve">Amish Rumspringa: </w:t>
            </w:r>
            <w:r w:rsidRPr="00075114">
              <w:rPr>
                <w:rFonts w:cstheme="minorHAnsi"/>
                <w:i/>
                <w:sz w:val="20"/>
              </w:rPr>
              <w:t>Devil’s Playgroun</w:t>
            </w:r>
            <w:r w:rsidRPr="00075114">
              <w:rPr>
                <w:rFonts w:cstheme="minorHAnsi"/>
                <w:sz w:val="20"/>
              </w:rPr>
              <w:t xml:space="preserve">d and </w:t>
            </w:r>
            <w:r w:rsidRPr="00075114">
              <w:rPr>
                <w:rFonts w:cstheme="minorHAnsi"/>
                <w:i/>
                <w:sz w:val="20"/>
              </w:rPr>
              <w:t>Amish: Out of Order</w:t>
            </w:r>
          </w:p>
        </w:tc>
        <w:tc>
          <w:tcPr>
            <w:tcW w:w="1872" w:type="dxa"/>
          </w:tcPr>
          <w:p w14:paraId="511559E1" w14:textId="77777777" w:rsidR="000546C1" w:rsidRPr="00075114" w:rsidRDefault="000546C1" w:rsidP="00CC16D8">
            <w:pPr>
              <w:rPr>
                <w:rFonts w:cstheme="minorHAnsi"/>
                <w:sz w:val="20"/>
                <w:szCs w:val="20"/>
              </w:rPr>
            </w:pPr>
            <w:r w:rsidRPr="00075114">
              <w:rPr>
                <w:rFonts w:cstheme="minorHAnsi"/>
                <w:sz w:val="20"/>
                <w:szCs w:val="20"/>
              </w:rPr>
              <w:t xml:space="preserve">NGO / website: “Lead for America: Start Where You Live” </w:t>
            </w:r>
          </w:p>
        </w:tc>
        <w:tc>
          <w:tcPr>
            <w:tcW w:w="1872" w:type="dxa"/>
          </w:tcPr>
          <w:p w14:paraId="3B25DC2A" w14:textId="77777777" w:rsidR="000546C1" w:rsidRPr="00075114" w:rsidRDefault="000546C1" w:rsidP="00CC16D8">
            <w:pPr>
              <w:rPr>
                <w:rFonts w:cstheme="minorHAnsi"/>
                <w:sz w:val="20"/>
              </w:rPr>
            </w:pPr>
            <w:proofErr w:type="spellStart"/>
            <w:r w:rsidRPr="00075114">
              <w:rPr>
                <w:rFonts w:cstheme="minorHAnsi"/>
                <w:sz w:val="20"/>
              </w:rPr>
              <w:t>Walzer</w:t>
            </w:r>
            <w:proofErr w:type="spellEnd"/>
            <w:r w:rsidRPr="00075114">
              <w:rPr>
                <w:rFonts w:cstheme="minorHAnsi"/>
                <w:sz w:val="20"/>
              </w:rPr>
              <w:t xml:space="preserve">, “The Obligation to Live for the State,” </w:t>
            </w:r>
            <w:r w:rsidRPr="00075114">
              <w:rPr>
                <w:rFonts w:cstheme="minorHAnsi"/>
                <w:i/>
                <w:sz w:val="20"/>
              </w:rPr>
              <w:t>Obligations</w:t>
            </w:r>
          </w:p>
        </w:tc>
      </w:tr>
      <w:tr w:rsidR="000546C1" w:rsidRPr="00075114" w14:paraId="22B0DF63" w14:textId="77777777" w:rsidTr="00CC16D8">
        <w:tc>
          <w:tcPr>
            <w:tcW w:w="1872" w:type="dxa"/>
          </w:tcPr>
          <w:p w14:paraId="4E025C46" w14:textId="77777777" w:rsidR="000546C1" w:rsidRPr="00075114" w:rsidRDefault="000546C1" w:rsidP="00CC16D8">
            <w:pPr>
              <w:rPr>
                <w:rFonts w:cstheme="minorHAnsi"/>
                <w:b/>
                <w:sz w:val="20"/>
              </w:rPr>
            </w:pPr>
            <w:r w:rsidRPr="00075114">
              <w:rPr>
                <w:rFonts w:cstheme="minorHAnsi"/>
                <w:b/>
                <w:sz w:val="20"/>
              </w:rPr>
              <w:t>Dissent Resources</w:t>
            </w:r>
          </w:p>
        </w:tc>
        <w:tc>
          <w:tcPr>
            <w:tcW w:w="1872" w:type="dxa"/>
          </w:tcPr>
          <w:p w14:paraId="4B9AD04E" w14:textId="77777777" w:rsidR="000546C1" w:rsidRPr="00075114" w:rsidRDefault="000546C1" w:rsidP="00CC16D8">
            <w:pPr>
              <w:rPr>
                <w:rFonts w:cstheme="minorHAnsi"/>
                <w:sz w:val="20"/>
              </w:rPr>
            </w:pPr>
            <w:r w:rsidRPr="00075114">
              <w:rPr>
                <w:rFonts w:cstheme="minorHAnsi"/>
                <w:sz w:val="20"/>
              </w:rPr>
              <w:t xml:space="preserve">Kant, excerpts from Peter Singer’s </w:t>
            </w:r>
            <w:r w:rsidRPr="00075114">
              <w:rPr>
                <w:rFonts w:cstheme="minorHAnsi"/>
                <w:i/>
                <w:sz w:val="20"/>
              </w:rPr>
              <w:t>Ethics</w:t>
            </w:r>
          </w:p>
        </w:tc>
        <w:tc>
          <w:tcPr>
            <w:tcW w:w="1872" w:type="dxa"/>
          </w:tcPr>
          <w:p w14:paraId="0D36293D" w14:textId="77777777" w:rsidR="000546C1" w:rsidRPr="00075114" w:rsidRDefault="000546C1" w:rsidP="00CC16D8">
            <w:pPr>
              <w:rPr>
                <w:rFonts w:cstheme="minorHAnsi"/>
                <w:sz w:val="20"/>
              </w:rPr>
            </w:pPr>
            <w:r w:rsidRPr="00075114">
              <w:rPr>
                <w:rFonts w:cstheme="minorHAnsi"/>
                <w:sz w:val="20"/>
              </w:rPr>
              <w:t xml:space="preserve">Hirschman, </w:t>
            </w:r>
            <w:r w:rsidRPr="00075114">
              <w:rPr>
                <w:rFonts w:cstheme="minorHAnsi"/>
                <w:i/>
                <w:sz w:val="20"/>
              </w:rPr>
              <w:t>Exit, Voice, and Loyalty</w:t>
            </w:r>
            <w:r w:rsidRPr="00075114">
              <w:rPr>
                <w:rFonts w:cstheme="minorHAnsi"/>
                <w:sz w:val="20"/>
              </w:rPr>
              <w:t>, 1-20 (exit and voice); 21-29 (exit)</w:t>
            </w:r>
          </w:p>
        </w:tc>
        <w:tc>
          <w:tcPr>
            <w:tcW w:w="1872" w:type="dxa"/>
          </w:tcPr>
          <w:p w14:paraId="71D8C806" w14:textId="77777777" w:rsidR="000546C1" w:rsidRPr="00075114" w:rsidRDefault="000546C1" w:rsidP="00CC16D8">
            <w:pPr>
              <w:rPr>
                <w:rFonts w:cstheme="minorHAnsi"/>
                <w:sz w:val="20"/>
              </w:rPr>
            </w:pPr>
            <w:r w:rsidRPr="00075114">
              <w:rPr>
                <w:rFonts w:cstheme="minorHAnsi"/>
                <w:sz w:val="20"/>
              </w:rPr>
              <w:t xml:space="preserve">Woeser, “Why Are Tibetans Setting Themselves on Fire?” </w:t>
            </w:r>
          </w:p>
        </w:tc>
        <w:tc>
          <w:tcPr>
            <w:tcW w:w="1872" w:type="dxa"/>
          </w:tcPr>
          <w:p w14:paraId="247E773B" w14:textId="77777777" w:rsidR="000546C1" w:rsidRPr="00075114" w:rsidRDefault="000546C1" w:rsidP="00CC16D8">
            <w:pPr>
              <w:rPr>
                <w:rFonts w:cstheme="minorHAnsi"/>
                <w:sz w:val="20"/>
              </w:rPr>
            </w:pPr>
            <w:r w:rsidRPr="00075114">
              <w:rPr>
                <w:rFonts w:cstheme="minorHAnsi"/>
                <w:sz w:val="20"/>
              </w:rPr>
              <w:t>Kirkpatrick, “Resistant Exit,” 135-137 and 142-145</w:t>
            </w:r>
          </w:p>
        </w:tc>
      </w:tr>
      <w:tr w:rsidR="000546C1" w:rsidRPr="00075114" w14:paraId="28CC30B8" w14:textId="77777777" w:rsidTr="00CC16D8">
        <w:tc>
          <w:tcPr>
            <w:tcW w:w="1872" w:type="dxa"/>
          </w:tcPr>
          <w:p w14:paraId="7676A158" w14:textId="77777777" w:rsidR="000546C1" w:rsidRPr="00075114" w:rsidRDefault="000546C1" w:rsidP="00CC16D8">
            <w:pPr>
              <w:rPr>
                <w:rFonts w:cstheme="minorHAnsi"/>
                <w:b/>
                <w:sz w:val="20"/>
              </w:rPr>
            </w:pPr>
            <w:r w:rsidRPr="00075114">
              <w:rPr>
                <w:rFonts w:cstheme="minorHAnsi"/>
                <w:b/>
                <w:sz w:val="20"/>
              </w:rPr>
              <w:t xml:space="preserve">Le </w:t>
            </w:r>
            <w:proofErr w:type="spellStart"/>
            <w:r w:rsidRPr="00075114">
              <w:rPr>
                <w:rFonts w:cstheme="minorHAnsi"/>
                <w:b/>
                <w:sz w:val="20"/>
              </w:rPr>
              <w:t>Guin</w:t>
            </w:r>
            <w:proofErr w:type="spellEnd"/>
            <w:r w:rsidRPr="00075114">
              <w:rPr>
                <w:rFonts w:cstheme="minorHAnsi"/>
                <w:sz w:val="20"/>
              </w:rPr>
              <w:t xml:space="preserve"> </w:t>
            </w:r>
            <w:r w:rsidRPr="00075114">
              <w:rPr>
                <w:rFonts w:cstheme="minorHAnsi"/>
                <w:b/>
                <w:sz w:val="20"/>
              </w:rPr>
              <w:t>Resources</w:t>
            </w:r>
          </w:p>
        </w:tc>
        <w:tc>
          <w:tcPr>
            <w:tcW w:w="1872" w:type="dxa"/>
          </w:tcPr>
          <w:p w14:paraId="401898A4" w14:textId="77777777" w:rsidR="000546C1" w:rsidRPr="00075114" w:rsidRDefault="000546C1" w:rsidP="00CC16D8">
            <w:pPr>
              <w:rPr>
                <w:rFonts w:cstheme="minorHAnsi"/>
                <w:sz w:val="20"/>
              </w:rPr>
            </w:pPr>
            <w:r w:rsidRPr="00075114">
              <w:rPr>
                <w:rFonts w:cstheme="minorHAnsi"/>
                <w:sz w:val="20"/>
              </w:rPr>
              <w:t xml:space="preserve">Le </w:t>
            </w:r>
            <w:proofErr w:type="spellStart"/>
            <w:r w:rsidRPr="00075114">
              <w:rPr>
                <w:rFonts w:cstheme="minorHAnsi"/>
                <w:sz w:val="20"/>
              </w:rPr>
              <w:t>Guin</w:t>
            </w:r>
            <w:proofErr w:type="spellEnd"/>
            <w:r w:rsidRPr="00075114">
              <w:rPr>
                <w:rFonts w:cstheme="minorHAnsi"/>
                <w:sz w:val="20"/>
              </w:rPr>
              <w:t xml:space="preserve">, preface to “The Ones Who Walk Away from Omelas,” </w:t>
            </w:r>
            <w:r w:rsidRPr="00075114">
              <w:rPr>
                <w:rFonts w:cstheme="minorHAnsi"/>
                <w:i/>
                <w:sz w:val="20"/>
              </w:rPr>
              <w:t>The Unreal and the Real</w:t>
            </w:r>
          </w:p>
        </w:tc>
        <w:tc>
          <w:tcPr>
            <w:tcW w:w="1872" w:type="dxa"/>
          </w:tcPr>
          <w:p w14:paraId="0AA4A62C" w14:textId="77777777" w:rsidR="000546C1" w:rsidRPr="00075114" w:rsidRDefault="000546C1" w:rsidP="00CC16D8">
            <w:pPr>
              <w:rPr>
                <w:rFonts w:cstheme="minorHAnsi"/>
                <w:sz w:val="20"/>
              </w:rPr>
            </w:pPr>
            <w:r w:rsidRPr="00075114">
              <w:rPr>
                <w:rFonts w:cstheme="minorHAnsi"/>
                <w:sz w:val="20"/>
              </w:rPr>
              <w:t xml:space="preserve">Le </w:t>
            </w:r>
            <w:proofErr w:type="spellStart"/>
            <w:r w:rsidRPr="00075114">
              <w:rPr>
                <w:rFonts w:cstheme="minorHAnsi"/>
                <w:sz w:val="20"/>
              </w:rPr>
              <w:t>Guin</w:t>
            </w:r>
            <w:proofErr w:type="spellEnd"/>
            <w:r w:rsidRPr="00075114">
              <w:rPr>
                <w:rFonts w:cstheme="minorHAnsi"/>
                <w:sz w:val="20"/>
              </w:rPr>
              <w:t xml:space="preserve">, “The Day After the Revolution,” </w:t>
            </w:r>
            <w:r w:rsidRPr="00075114">
              <w:rPr>
                <w:rFonts w:cstheme="minorHAnsi"/>
                <w:i/>
                <w:sz w:val="20"/>
              </w:rPr>
              <w:t>The Wind’s Twelve Quarters</w:t>
            </w:r>
          </w:p>
        </w:tc>
        <w:tc>
          <w:tcPr>
            <w:tcW w:w="1872" w:type="dxa"/>
          </w:tcPr>
          <w:p w14:paraId="69878A3F" w14:textId="77777777" w:rsidR="000546C1" w:rsidRPr="00075114" w:rsidRDefault="000546C1" w:rsidP="00CC16D8">
            <w:pPr>
              <w:rPr>
                <w:rFonts w:cstheme="minorHAnsi"/>
                <w:sz w:val="20"/>
              </w:rPr>
            </w:pPr>
            <w:r w:rsidRPr="00075114">
              <w:rPr>
                <w:rFonts w:cstheme="minorHAnsi"/>
                <w:sz w:val="20"/>
              </w:rPr>
              <w:t xml:space="preserve">Le </w:t>
            </w:r>
            <w:proofErr w:type="spellStart"/>
            <w:r w:rsidRPr="00075114">
              <w:rPr>
                <w:rFonts w:cstheme="minorHAnsi"/>
                <w:sz w:val="20"/>
              </w:rPr>
              <w:t>Guin</w:t>
            </w:r>
            <w:proofErr w:type="spellEnd"/>
            <w:r w:rsidRPr="00075114">
              <w:rPr>
                <w:rFonts w:cstheme="minorHAnsi"/>
                <w:sz w:val="20"/>
              </w:rPr>
              <w:t xml:space="preserve">, </w:t>
            </w:r>
            <w:r w:rsidRPr="00075114">
              <w:rPr>
                <w:rFonts w:cstheme="minorHAnsi"/>
                <w:i/>
                <w:sz w:val="20"/>
              </w:rPr>
              <w:t>The Dispossessed: An Ambiguous Utopia</w:t>
            </w:r>
          </w:p>
        </w:tc>
        <w:tc>
          <w:tcPr>
            <w:tcW w:w="1872" w:type="dxa"/>
          </w:tcPr>
          <w:p w14:paraId="0FCF8FCC" w14:textId="77777777" w:rsidR="000546C1" w:rsidRPr="00075114" w:rsidRDefault="000546C1" w:rsidP="00CC16D8">
            <w:pPr>
              <w:rPr>
                <w:rFonts w:cstheme="minorHAnsi"/>
                <w:sz w:val="20"/>
              </w:rPr>
            </w:pPr>
            <w:r w:rsidRPr="00075114">
              <w:rPr>
                <w:rFonts w:cstheme="minorHAnsi"/>
                <w:sz w:val="20"/>
              </w:rPr>
              <w:t xml:space="preserve">Burns, </w:t>
            </w:r>
            <w:r w:rsidRPr="00075114">
              <w:rPr>
                <w:rFonts w:cstheme="minorHAnsi"/>
                <w:i/>
                <w:sz w:val="20"/>
              </w:rPr>
              <w:t xml:space="preserve">Political Theory, Science Fiction, and Utopian Literature: Ursula K. Le </w:t>
            </w:r>
            <w:proofErr w:type="spellStart"/>
            <w:r w:rsidRPr="00075114">
              <w:rPr>
                <w:rFonts w:cstheme="minorHAnsi"/>
                <w:i/>
                <w:sz w:val="20"/>
              </w:rPr>
              <w:t>Guin</w:t>
            </w:r>
            <w:proofErr w:type="spellEnd"/>
            <w:r w:rsidRPr="00075114">
              <w:rPr>
                <w:rFonts w:cstheme="minorHAnsi"/>
                <w:i/>
                <w:sz w:val="20"/>
              </w:rPr>
              <w:t xml:space="preserve"> and The Dispossessed</w:t>
            </w:r>
          </w:p>
        </w:tc>
      </w:tr>
      <w:tr w:rsidR="000546C1" w:rsidRPr="00075114" w14:paraId="1C4602B8" w14:textId="77777777" w:rsidTr="00CC16D8">
        <w:tc>
          <w:tcPr>
            <w:tcW w:w="1872" w:type="dxa"/>
          </w:tcPr>
          <w:p w14:paraId="3C75D1BE" w14:textId="77777777" w:rsidR="000546C1" w:rsidRPr="00075114" w:rsidRDefault="000546C1" w:rsidP="00CC16D8">
            <w:pPr>
              <w:rPr>
                <w:rFonts w:cstheme="minorHAnsi"/>
                <w:b/>
                <w:sz w:val="20"/>
                <w:szCs w:val="20"/>
              </w:rPr>
            </w:pPr>
            <w:r w:rsidRPr="00075114">
              <w:rPr>
                <w:rFonts w:cstheme="minorHAnsi"/>
                <w:b/>
                <w:sz w:val="20"/>
                <w:szCs w:val="20"/>
              </w:rPr>
              <w:t>Cultural &amp; Journalistic Resources: Omelas</w:t>
            </w:r>
          </w:p>
        </w:tc>
        <w:tc>
          <w:tcPr>
            <w:tcW w:w="1872" w:type="dxa"/>
          </w:tcPr>
          <w:p w14:paraId="0EFC4A22" w14:textId="77777777" w:rsidR="000546C1" w:rsidRPr="00075114" w:rsidRDefault="000546C1" w:rsidP="00CC16D8">
            <w:pPr>
              <w:rPr>
                <w:rFonts w:cstheme="minorHAnsi"/>
                <w:color w:val="000000" w:themeColor="text1"/>
                <w:sz w:val="20"/>
                <w:szCs w:val="20"/>
              </w:rPr>
            </w:pPr>
            <w:r w:rsidRPr="00075114">
              <w:rPr>
                <w:rFonts w:cstheme="minorHAnsi"/>
                <w:color w:val="000000" w:themeColor="text1"/>
                <w:sz w:val="20"/>
                <w:szCs w:val="20"/>
              </w:rPr>
              <w:t xml:space="preserve">David Brooks, “The Child in the Basement,” </w:t>
            </w:r>
            <w:r w:rsidRPr="00075114">
              <w:rPr>
                <w:rFonts w:cstheme="minorHAnsi"/>
                <w:i/>
                <w:color w:val="000000" w:themeColor="text1"/>
                <w:sz w:val="20"/>
                <w:szCs w:val="20"/>
              </w:rPr>
              <w:t>NYT</w:t>
            </w:r>
            <w:r w:rsidRPr="00075114">
              <w:rPr>
                <w:rFonts w:cstheme="minorHAnsi"/>
                <w:color w:val="000000" w:themeColor="text1"/>
                <w:sz w:val="20"/>
                <w:szCs w:val="20"/>
              </w:rPr>
              <w:t xml:space="preserve"> op-ed </w:t>
            </w:r>
          </w:p>
          <w:p w14:paraId="7FB4A13C" w14:textId="77777777" w:rsidR="000546C1" w:rsidRPr="00075114" w:rsidRDefault="000546C1" w:rsidP="00CC16D8">
            <w:pPr>
              <w:rPr>
                <w:rFonts w:cstheme="minorHAnsi"/>
                <w:sz w:val="20"/>
                <w:szCs w:val="20"/>
              </w:rPr>
            </w:pPr>
          </w:p>
        </w:tc>
        <w:tc>
          <w:tcPr>
            <w:tcW w:w="1872" w:type="dxa"/>
          </w:tcPr>
          <w:p w14:paraId="4F9A856A" w14:textId="77777777" w:rsidR="000546C1" w:rsidRPr="00075114" w:rsidRDefault="000546C1" w:rsidP="00CC16D8">
            <w:pPr>
              <w:rPr>
                <w:rFonts w:cstheme="minorHAnsi"/>
                <w:sz w:val="20"/>
                <w:szCs w:val="20"/>
              </w:rPr>
            </w:pPr>
            <w:r w:rsidRPr="00075114">
              <w:rPr>
                <w:rFonts w:cstheme="minorHAnsi"/>
                <w:sz w:val="20"/>
                <w:szCs w:val="20"/>
              </w:rPr>
              <w:t>BTS, “Spring Day,” music video</w:t>
            </w:r>
          </w:p>
        </w:tc>
        <w:tc>
          <w:tcPr>
            <w:tcW w:w="1872" w:type="dxa"/>
          </w:tcPr>
          <w:p w14:paraId="75FD0ED8" w14:textId="77777777" w:rsidR="000546C1" w:rsidRPr="00075114" w:rsidRDefault="000546C1" w:rsidP="00CC16D8">
            <w:pPr>
              <w:rPr>
                <w:rFonts w:cstheme="minorHAnsi"/>
                <w:sz w:val="20"/>
                <w:szCs w:val="20"/>
              </w:rPr>
            </w:pPr>
            <w:r w:rsidRPr="00075114">
              <w:rPr>
                <w:rFonts w:cstheme="minorHAnsi"/>
                <w:sz w:val="20"/>
                <w:szCs w:val="20"/>
              </w:rPr>
              <w:t>Let’s Go North, short film</w:t>
            </w:r>
          </w:p>
        </w:tc>
        <w:tc>
          <w:tcPr>
            <w:tcW w:w="1872" w:type="dxa"/>
          </w:tcPr>
          <w:p w14:paraId="082F5E6C" w14:textId="77777777" w:rsidR="000546C1" w:rsidRPr="00075114" w:rsidRDefault="000546C1" w:rsidP="00CC16D8">
            <w:pPr>
              <w:rPr>
                <w:rFonts w:cstheme="minorHAnsi"/>
                <w:sz w:val="20"/>
                <w:szCs w:val="20"/>
              </w:rPr>
            </w:pPr>
            <w:r w:rsidRPr="00075114">
              <w:rPr>
                <w:rFonts w:cstheme="minorHAnsi"/>
                <w:sz w:val="20"/>
                <w:szCs w:val="20"/>
              </w:rPr>
              <w:t xml:space="preserve">“Pushing Boundaries: Science Fiction and Feminism, Ursula K. Le </w:t>
            </w:r>
            <w:proofErr w:type="spellStart"/>
            <w:r w:rsidRPr="00075114">
              <w:rPr>
                <w:rFonts w:cstheme="minorHAnsi"/>
                <w:sz w:val="20"/>
                <w:szCs w:val="20"/>
              </w:rPr>
              <w:t>Guin</w:t>
            </w:r>
            <w:proofErr w:type="spellEnd"/>
            <w:r w:rsidRPr="00075114">
              <w:rPr>
                <w:rFonts w:cstheme="minorHAnsi"/>
                <w:sz w:val="20"/>
                <w:szCs w:val="20"/>
              </w:rPr>
              <w:t>” PBS</w:t>
            </w:r>
          </w:p>
        </w:tc>
      </w:tr>
    </w:tbl>
    <w:p w14:paraId="5508AA85" w14:textId="77777777" w:rsidR="000546C1" w:rsidRPr="00075114" w:rsidRDefault="000546C1" w:rsidP="000546C1">
      <w:pPr>
        <w:rPr>
          <w:rFonts w:cstheme="minorHAnsi"/>
        </w:rPr>
      </w:pPr>
    </w:p>
    <w:p w14:paraId="23931BAB" w14:textId="77777777" w:rsidR="000546C1" w:rsidRPr="00075114" w:rsidRDefault="000546C1" w:rsidP="009E0190">
      <w:pPr>
        <w:pStyle w:val="EndNoteBibliography"/>
        <w:rPr>
          <w:rFonts w:asciiTheme="minorHAnsi" w:hAnsiTheme="minorHAnsi" w:cstheme="minorHAnsi"/>
          <w:noProof/>
        </w:rPr>
      </w:pPr>
    </w:p>
    <w:p w14:paraId="6A620479" w14:textId="77777777" w:rsidR="000546C1" w:rsidRPr="00075114" w:rsidRDefault="000546C1" w:rsidP="000546C1">
      <w:pPr>
        <w:rPr>
          <w:rFonts w:asciiTheme="majorHAnsi" w:hAnsiTheme="majorHAnsi" w:cstheme="majorHAnsi"/>
          <w:sz w:val="24"/>
          <w:szCs w:val="24"/>
        </w:rPr>
      </w:pPr>
      <w:r w:rsidRPr="00075114">
        <w:rPr>
          <w:rFonts w:asciiTheme="majorHAnsi" w:hAnsiTheme="majorHAnsi" w:cstheme="majorHAnsi"/>
          <w:sz w:val="24"/>
          <w:szCs w:val="24"/>
        </w:rPr>
        <w:t>References</w:t>
      </w:r>
    </w:p>
    <w:p w14:paraId="4D52744B" w14:textId="77777777" w:rsidR="000546C1" w:rsidRPr="00075114" w:rsidRDefault="000546C1" w:rsidP="000546C1">
      <w:pPr>
        <w:rPr>
          <w:rFonts w:cstheme="minorHAnsi"/>
        </w:rPr>
      </w:pPr>
    </w:p>
    <w:p w14:paraId="6F442F05"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2019. "Lead for America: Start Where You Live." accessed Sept. 24, 2019. </w:t>
      </w:r>
      <w:hyperlink r:id="rId13" w:history="1">
        <w:r w:rsidRPr="00075114">
          <w:rPr>
            <w:rStyle w:val="Hyperlink"/>
            <w:rFonts w:asciiTheme="minorHAnsi" w:hAnsiTheme="minorHAnsi" w:cstheme="minorHAnsi"/>
            <w:noProof/>
          </w:rPr>
          <w:t>https://www.lead4america.org/</w:t>
        </w:r>
      </w:hyperlink>
      <w:r w:rsidRPr="00075114">
        <w:rPr>
          <w:rFonts w:asciiTheme="minorHAnsi" w:hAnsiTheme="minorHAnsi" w:cstheme="minorHAnsi"/>
          <w:noProof/>
        </w:rPr>
        <w:t>.</w:t>
      </w:r>
    </w:p>
    <w:p w14:paraId="25CCC17D"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Brooks, David. 2015. "The Child in the Basement." The New York Times, accessed Sept. 23, 2019. </w:t>
      </w:r>
      <w:hyperlink r:id="rId14" w:history="1">
        <w:r w:rsidRPr="00075114">
          <w:rPr>
            <w:rStyle w:val="Hyperlink"/>
            <w:rFonts w:asciiTheme="minorHAnsi" w:hAnsiTheme="minorHAnsi" w:cstheme="minorHAnsi"/>
            <w:b/>
            <w:noProof/>
          </w:rPr>
          <w:t>https://www.nytimes.com/2015/01/13/opinion/david-brooks-the-child-in-the-basement.html</w:t>
        </w:r>
      </w:hyperlink>
      <w:r w:rsidRPr="00075114">
        <w:rPr>
          <w:rFonts w:asciiTheme="minorHAnsi" w:hAnsiTheme="minorHAnsi" w:cstheme="minorHAnsi"/>
          <w:noProof/>
        </w:rPr>
        <w:t>.</w:t>
      </w:r>
    </w:p>
    <w:p w14:paraId="3B2796D3"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Burns, Tony. 2008. </w:t>
      </w:r>
      <w:r w:rsidRPr="00075114">
        <w:rPr>
          <w:rFonts w:asciiTheme="minorHAnsi" w:hAnsiTheme="minorHAnsi" w:cstheme="minorHAnsi"/>
          <w:i/>
          <w:noProof/>
        </w:rPr>
        <w:t>Political Theory, Science Fiction, and Utopian Literature: Ursula K. Le Guin and the Dispossessed</w:t>
      </w:r>
      <w:r w:rsidRPr="00075114">
        <w:rPr>
          <w:rFonts w:asciiTheme="minorHAnsi" w:hAnsiTheme="minorHAnsi" w:cstheme="minorHAnsi"/>
          <w:noProof/>
        </w:rPr>
        <w:t>. Boulder: Lexington Books.</w:t>
      </w:r>
    </w:p>
    <w:p w14:paraId="78D20241"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Gingerich, Mose J. 2010. "Amish: Out of Order." National Geographic Channel, accessed June 30, 2020. </w:t>
      </w:r>
      <w:hyperlink r:id="rId15" w:history="1">
        <w:r w:rsidRPr="00075114">
          <w:rPr>
            <w:rStyle w:val="Hyperlink"/>
            <w:rFonts w:asciiTheme="minorHAnsi" w:hAnsiTheme="minorHAnsi" w:cstheme="minorHAnsi"/>
            <w:noProof/>
          </w:rPr>
          <w:t>https://video.nationalgeographic.com/video/amish-out-of-order</w:t>
        </w:r>
      </w:hyperlink>
      <w:r w:rsidRPr="00075114">
        <w:rPr>
          <w:rFonts w:asciiTheme="minorHAnsi" w:hAnsiTheme="minorHAnsi" w:cstheme="minorHAnsi"/>
          <w:noProof/>
        </w:rPr>
        <w:t>.</w:t>
      </w:r>
    </w:p>
    <w:p w14:paraId="2BAD5D25"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Hirschman, Albert O. 1970. </w:t>
      </w:r>
      <w:r w:rsidRPr="00075114">
        <w:rPr>
          <w:rFonts w:asciiTheme="minorHAnsi" w:hAnsiTheme="minorHAnsi" w:cstheme="minorHAnsi"/>
          <w:i/>
          <w:noProof/>
        </w:rPr>
        <w:t>Exit, Voice, and Loyalty: Responses to Decline in Firms, Organizations, and States</w:t>
      </w:r>
      <w:r w:rsidRPr="00075114">
        <w:rPr>
          <w:rFonts w:asciiTheme="minorHAnsi" w:hAnsiTheme="minorHAnsi" w:cstheme="minorHAnsi"/>
          <w:noProof/>
        </w:rPr>
        <w:t>. Cambridge: Harvard University Press.</w:t>
      </w:r>
    </w:p>
    <w:p w14:paraId="34DB0CB7"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Hume, David. 1875. "Of the Original Contract." In </w:t>
      </w:r>
      <w:r w:rsidRPr="00075114">
        <w:rPr>
          <w:rFonts w:asciiTheme="minorHAnsi" w:hAnsiTheme="minorHAnsi" w:cstheme="minorHAnsi"/>
          <w:i/>
          <w:noProof/>
        </w:rPr>
        <w:t>Essays Moral, Political, and Literary</w:t>
      </w:r>
      <w:r w:rsidRPr="00075114">
        <w:rPr>
          <w:rFonts w:asciiTheme="minorHAnsi" w:hAnsiTheme="minorHAnsi" w:cstheme="minorHAnsi"/>
          <w:noProof/>
        </w:rPr>
        <w:t>, edited by T. H. Green and T. H. Grose, 443-460. London: Longmans, Green, and Company.</w:t>
      </w:r>
    </w:p>
    <w:p w14:paraId="52838BC4"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Kirkpatrick, Jennet. 2018. "Resistant Exit."  </w:t>
      </w:r>
      <w:r w:rsidRPr="00075114">
        <w:rPr>
          <w:rFonts w:asciiTheme="minorHAnsi" w:hAnsiTheme="minorHAnsi" w:cstheme="minorHAnsi"/>
          <w:i/>
          <w:noProof/>
        </w:rPr>
        <w:t>Contemporary Political Theory</w:t>
      </w:r>
      <w:r w:rsidRPr="00075114">
        <w:rPr>
          <w:rFonts w:asciiTheme="minorHAnsi" w:hAnsiTheme="minorHAnsi" w:cstheme="minorHAnsi"/>
          <w:noProof/>
        </w:rPr>
        <w:t xml:space="preserve"> 18 (2). doi: 10.1057/s41296-018-0252-1.</w:t>
      </w:r>
    </w:p>
    <w:p w14:paraId="1B95BC64"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Le Guin, Ursula K. 1974a. </w:t>
      </w:r>
      <w:r w:rsidRPr="00075114">
        <w:rPr>
          <w:rFonts w:asciiTheme="minorHAnsi" w:hAnsiTheme="minorHAnsi" w:cstheme="minorHAnsi"/>
          <w:i/>
          <w:noProof/>
        </w:rPr>
        <w:t>The Dispossessed: An Ambiguous Utopia</w:t>
      </w:r>
      <w:r w:rsidRPr="00075114">
        <w:rPr>
          <w:rFonts w:asciiTheme="minorHAnsi" w:hAnsiTheme="minorHAnsi" w:cstheme="minorHAnsi"/>
          <w:noProof/>
        </w:rPr>
        <w:t>. New York: Harper &amp; Row.</w:t>
      </w:r>
    </w:p>
    <w:p w14:paraId="5A69082A"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lastRenderedPageBreak/>
        <w:t xml:space="preserve">Le Guin, Ursula K. 1974b. "The Day before the Revolution." Library of America, accessed Sept. 16, 2019. </w:t>
      </w:r>
      <w:hyperlink r:id="rId16" w:history="1">
        <w:r w:rsidRPr="00075114">
          <w:rPr>
            <w:rStyle w:val="Hyperlink"/>
            <w:rFonts w:asciiTheme="minorHAnsi" w:hAnsiTheme="minorHAnsi" w:cstheme="minorHAnsi"/>
            <w:noProof/>
          </w:rPr>
          <w:t>http://storyoftheweek.loa.org/2017/08/the-day-before-revolution.html</w:t>
        </w:r>
      </w:hyperlink>
      <w:r w:rsidRPr="00075114">
        <w:rPr>
          <w:rFonts w:asciiTheme="minorHAnsi" w:hAnsiTheme="minorHAnsi" w:cstheme="minorHAnsi"/>
          <w:noProof/>
        </w:rPr>
        <w:t>.</w:t>
      </w:r>
    </w:p>
    <w:p w14:paraId="0A6B2A2C"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Le Guin, Ursula K. 2016. "The Ones Who Walk Away from Omelas." In </w:t>
      </w:r>
      <w:r w:rsidRPr="00075114">
        <w:rPr>
          <w:rFonts w:asciiTheme="minorHAnsi" w:hAnsiTheme="minorHAnsi" w:cstheme="minorHAnsi"/>
          <w:i/>
          <w:noProof/>
        </w:rPr>
        <w:t>The Unreal and the Real: The Selected Short Stories of Ursula K. Le Guin</w:t>
      </w:r>
      <w:r w:rsidRPr="00075114">
        <w:rPr>
          <w:rFonts w:asciiTheme="minorHAnsi" w:hAnsiTheme="minorHAnsi" w:cstheme="minorHAnsi"/>
          <w:noProof/>
        </w:rPr>
        <w:t>. New York: Simon and Schuster.</w:t>
      </w:r>
    </w:p>
    <w:p w14:paraId="4C3D9793"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Lets_Go_North. 2017. "The Ones Who Walk Away from Omelas: A Short Story." accessed July 2, 2020. </w:t>
      </w:r>
      <w:hyperlink r:id="rId17" w:history="1">
        <w:r w:rsidRPr="00075114">
          <w:rPr>
            <w:rStyle w:val="Hyperlink"/>
            <w:rFonts w:asciiTheme="minorHAnsi" w:hAnsiTheme="minorHAnsi" w:cstheme="minorHAnsi"/>
            <w:noProof/>
          </w:rPr>
          <w:t>https://www.youtube.com/watch?v=OgqonNzFQwU</w:t>
        </w:r>
      </w:hyperlink>
      <w:r w:rsidRPr="00075114">
        <w:rPr>
          <w:rFonts w:asciiTheme="minorHAnsi" w:hAnsiTheme="minorHAnsi" w:cstheme="minorHAnsi"/>
          <w:noProof/>
        </w:rPr>
        <w:t>.</w:t>
      </w:r>
    </w:p>
    <w:p w14:paraId="71ECC814"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PBS. 2020. "Pushing Boundaries: Science Fiction and Feminism, Ursula K. Le Guin." accessed July 2, 2020. </w:t>
      </w:r>
      <w:hyperlink r:id="rId18" w:history="1">
        <w:r w:rsidRPr="00075114">
          <w:rPr>
            <w:rStyle w:val="Hyperlink"/>
            <w:rFonts w:asciiTheme="minorHAnsi" w:hAnsiTheme="minorHAnsi" w:cstheme="minorHAnsi"/>
            <w:noProof/>
          </w:rPr>
          <w:t>https://az.pbslearningmedia.org/resource/uklg19-ela-feminism-video/ursula-le-guin/</w:t>
        </w:r>
      </w:hyperlink>
      <w:r w:rsidRPr="00075114">
        <w:rPr>
          <w:rFonts w:asciiTheme="minorHAnsi" w:hAnsiTheme="minorHAnsi" w:cstheme="minorHAnsi"/>
          <w:noProof/>
        </w:rPr>
        <w:t>.</w:t>
      </w:r>
    </w:p>
    <w:p w14:paraId="23C493C4"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Singer, Peter, ed. 1994. </w:t>
      </w:r>
      <w:r w:rsidRPr="00075114">
        <w:rPr>
          <w:rFonts w:asciiTheme="minorHAnsi" w:hAnsiTheme="minorHAnsi" w:cstheme="minorHAnsi"/>
          <w:i/>
          <w:noProof/>
        </w:rPr>
        <w:t>Ethics</w:t>
      </w:r>
      <w:r w:rsidRPr="00075114">
        <w:rPr>
          <w:rFonts w:asciiTheme="minorHAnsi" w:hAnsiTheme="minorHAnsi" w:cstheme="minorHAnsi"/>
          <w:noProof/>
        </w:rPr>
        <w:t>. New York: Oxford University Press.</w:t>
      </w:r>
    </w:p>
    <w:p w14:paraId="47657A47"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Walker, Lucy. 2002. "Devil’s Playground (Documentary)." accessed July 2, 2020. </w:t>
      </w:r>
      <w:hyperlink r:id="rId19" w:history="1">
        <w:r w:rsidRPr="00075114">
          <w:rPr>
            <w:rStyle w:val="Hyperlink"/>
            <w:rFonts w:asciiTheme="minorHAnsi" w:hAnsiTheme="minorHAnsi" w:cstheme="minorHAnsi"/>
            <w:noProof/>
          </w:rPr>
          <w:t>https://www.imdb.com/title/tt0293088/</w:t>
        </w:r>
      </w:hyperlink>
      <w:r w:rsidRPr="00075114">
        <w:rPr>
          <w:rFonts w:asciiTheme="minorHAnsi" w:hAnsiTheme="minorHAnsi" w:cstheme="minorHAnsi"/>
          <w:noProof/>
        </w:rPr>
        <w:t>.</w:t>
      </w:r>
    </w:p>
    <w:p w14:paraId="1B10D8DA"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Walzer, Michael. 1970. </w:t>
      </w:r>
      <w:r w:rsidRPr="00075114">
        <w:rPr>
          <w:rFonts w:asciiTheme="minorHAnsi" w:hAnsiTheme="minorHAnsi" w:cstheme="minorHAnsi"/>
          <w:i/>
          <w:noProof/>
        </w:rPr>
        <w:t>Obligations: Essays on Disobedience, War, and Citizenship</w:t>
      </w:r>
      <w:r w:rsidRPr="00075114">
        <w:rPr>
          <w:rFonts w:asciiTheme="minorHAnsi" w:hAnsiTheme="minorHAnsi" w:cstheme="minorHAnsi"/>
          <w:noProof/>
        </w:rPr>
        <w:t>. Cambridge: Harvard University Press.</w:t>
      </w:r>
    </w:p>
    <w:p w14:paraId="705BDB9D" w14:textId="77777777" w:rsidR="000546C1" w:rsidRPr="00075114" w:rsidRDefault="000546C1" w:rsidP="000546C1">
      <w:pPr>
        <w:pStyle w:val="EndNoteBibliography"/>
        <w:spacing w:line="240" w:lineRule="auto"/>
        <w:ind w:left="720" w:hanging="720"/>
        <w:rPr>
          <w:rFonts w:asciiTheme="minorHAnsi" w:hAnsiTheme="minorHAnsi" w:cstheme="minorHAnsi"/>
          <w:noProof/>
        </w:rPr>
      </w:pPr>
      <w:r w:rsidRPr="00075114">
        <w:rPr>
          <w:rFonts w:asciiTheme="minorHAnsi" w:hAnsiTheme="minorHAnsi" w:cstheme="minorHAnsi"/>
          <w:noProof/>
        </w:rPr>
        <w:t xml:space="preserve">Woeser, Tsering. 2016. "Why Are Tibetans Setting Themselves on Fire?", accessed June 29, 2020. </w:t>
      </w:r>
      <w:hyperlink r:id="rId20" w:history="1">
        <w:r w:rsidRPr="00075114">
          <w:rPr>
            <w:rStyle w:val="Hyperlink"/>
            <w:rFonts w:asciiTheme="minorHAnsi" w:hAnsiTheme="minorHAnsi" w:cstheme="minorHAnsi"/>
            <w:noProof/>
          </w:rPr>
          <w:t>https://www.nybooks.com/daily/2016/01/11/why-are-tibetans-self-immolating/</w:t>
        </w:r>
      </w:hyperlink>
      <w:r w:rsidRPr="00075114">
        <w:rPr>
          <w:rFonts w:asciiTheme="minorHAnsi" w:hAnsiTheme="minorHAnsi" w:cstheme="minorHAnsi"/>
          <w:noProof/>
        </w:rPr>
        <w:t>.</w:t>
      </w:r>
    </w:p>
    <w:p w14:paraId="0F050DA0" w14:textId="77777777" w:rsidR="000546C1" w:rsidRDefault="000546C1" w:rsidP="000546C1">
      <w:pPr>
        <w:pStyle w:val="EndNoteBibliography"/>
        <w:spacing w:line="240" w:lineRule="auto"/>
        <w:ind w:left="720" w:hanging="720"/>
        <w:rPr>
          <w:rFonts w:asciiTheme="minorHAnsi" w:hAnsiTheme="minorHAnsi" w:cstheme="minorHAnsi"/>
          <w:noProof/>
        </w:rPr>
      </w:pPr>
    </w:p>
    <w:p w14:paraId="1872E1F5" w14:textId="77777777" w:rsidR="000546C1" w:rsidRPr="00E22FA2" w:rsidRDefault="000546C1" w:rsidP="000546C1">
      <w:pPr>
        <w:tabs>
          <w:tab w:val="left" w:pos="1559"/>
        </w:tabs>
        <w:spacing w:line="240" w:lineRule="auto"/>
        <w:rPr>
          <w:rFonts w:cstheme="minorHAnsi"/>
        </w:rPr>
      </w:pPr>
    </w:p>
    <w:sectPr w:rsidR="000546C1" w:rsidRPr="00E22FA2" w:rsidSect="003071C8">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7D3C7" w14:textId="77777777" w:rsidR="002D5311" w:rsidRDefault="002D5311" w:rsidP="000546C1">
      <w:pPr>
        <w:spacing w:after="0" w:line="240" w:lineRule="auto"/>
      </w:pPr>
      <w:r>
        <w:separator/>
      </w:r>
    </w:p>
  </w:endnote>
  <w:endnote w:type="continuationSeparator" w:id="0">
    <w:p w14:paraId="7797A11D" w14:textId="77777777" w:rsidR="002D5311" w:rsidRDefault="002D5311" w:rsidP="0005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1684991"/>
      <w:docPartObj>
        <w:docPartGallery w:val="Page Numbers (Bottom of Page)"/>
        <w:docPartUnique/>
      </w:docPartObj>
    </w:sdtPr>
    <w:sdtContent>
      <w:p w14:paraId="457C583B" w14:textId="2FF41BCA" w:rsidR="000546C1" w:rsidRDefault="000546C1" w:rsidP="00582F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CCEF5" w14:textId="77777777" w:rsidR="000546C1" w:rsidRDefault="000546C1" w:rsidP="00054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3895854"/>
      <w:docPartObj>
        <w:docPartGallery w:val="Page Numbers (Bottom of Page)"/>
        <w:docPartUnique/>
      </w:docPartObj>
    </w:sdtPr>
    <w:sdtContent>
      <w:p w14:paraId="47F08D1F" w14:textId="117090C5" w:rsidR="000546C1" w:rsidRDefault="000546C1" w:rsidP="00582F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23538" w14:textId="77777777" w:rsidR="000546C1" w:rsidRDefault="000546C1" w:rsidP="000546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1AACA" w14:textId="77777777" w:rsidR="002D5311" w:rsidRDefault="002D5311" w:rsidP="000546C1">
      <w:pPr>
        <w:spacing w:after="0" w:line="240" w:lineRule="auto"/>
      </w:pPr>
      <w:r>
        <w:separator/>
      </w:r>
    </w:p>
  </w:footnote>
  <w:footnote w:type="continuationSeparator" w:id="0">
    <w:p w14:paraId="6B3124A5" w14:textId="77777777" w:rsidR="002D5311" w:rsidRDefault="002D5311" w:rsidP="00054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80480"/>
    <w:multiLevelType w:val="hybridMultilevel"/>
    <w:tmpl w:val="BAF25888"/>
    <w:lvl w:ilvl="0" w:tplc="8A2C5ADE">
      <w:start w:val="1"/>
      <w:numFmt w:val="bullet"/>
      <w:lvlText w:val=""/>
      <w:lvlJc w:val="left"/>
      <w:pPr>
        <w:ind w:left="720" w:hanging="360"/>
      </w:pPr>
      <w:rPr>
        <w:rFonts w:ascii="Symbol" w:hAnsi="Symbol" w:hint="default"/>
      </w:rPr>
    </w:lvl>
    <w:lvl w:ilvl="1" w:tplc="49906740" w:tentative="1">
      <w:start w:val="1"/>
      <w:numFmt w:val="bullet"/>
      <w:lvlText w:val="o"/>
      <w:lvlJc w:val="left"/>
      <w:pPr>
        <w:ind w:left="1440" w:hanging="360"/>
      </w:pPr>
      <w:rPr>
        <w:rFonts w:ascii="Courier New" w:hAnsi="Courier New" w:cs="Courier New" w:hint="default"/>
      </w:rPr>
    </w:lvl>
    <w:lvl w:ilvl="2" w:tplc="5D3E84CA" w:tentative="1">
      <w:start w:val="1"/>
      <w:numFmt w:val="bullet"/>
      <w:lvlText w:val=""/>
      <w:lvlJc w:val="left"/>
      <w:pPr>
        <w:ind w:left="2160" w:hanging="360"/>
      </w:pPr>
      <w:rPr>
        <w:rFonts w:ascii="Wingdings" w:hAnsi="Wingdings" w:hint="default"/>
      </w:rPr>
    </w:lvl>
    <w:lvl w:ilvl="3" w:tplc="A98E369C" w:tentative="1">
      <w:start w:val="1"/>
      <w:numFmt w:val="bullet"/>
      <w:lvlText w:val=""/>
      <w:lvlJc w:val="left"/>
      <w:pPr>
        <w:ind w:left="2880" w:hanging="360"/>
      </w:pPr>
      <w:rPr>
        <w:rFonts w:ascii="Symbol" w:hAnsi="Symbol" w:hint="default"/>
      </w:rPr>
    </w:lvl>
    <w:lvl w:ilvl="4" w:tplc="705C0644" w:tentative="1">
      <w:start w:val="1"/>
      <w:numFmt w:val="bullet"/>
      <w:lvlText w:val="o"/>
      <w:lvlJc w:val="left"/>
      <w:pPr>
        <w:ind w:left="3600" w:hanging="360"/>
      </w:pPr>
      <w:rPr>
        <w:rFonts w:ascii="Courier New" w:hAnsi="Courier New" w:cs="Courier New" w:hint="default"/>
      </w:rPr>
    </w:lvl>
    <w:lvl w:ilvl="5" w:tplc="C4626B84" w:tentative="1">
      <w:start w:val="1"/>
      <w:numFmt w:val="bullet"/>
      <w:lvlText w:val=""/>
      <w:lvlJc w:val="left"/>
      <w:pPr>
        <w:ind w:left="4320" w:hanging="360"/>
      </w:pPr>
      <w:rPr>
        <w:rFonts w:ascii="Wingdings" w:hAnsi="Wingdings" w:hint="default"/>
      </w:rPr>
    </w:lvl>
    <w:lvl w:ilvl="6" w:tplc="438A76A2" w:tentative="1">
      <w:start w:val="1"/>
      <w:numFmt w:val="bullet"/>
      <w:lvlText w:val=""/>
      <w:lvlJc w:val="left"/>
      <w:pPr>
        <w:ind w:left="5040" w:hanging="360"/>
      </w:pPr>
      <w:rPr>
        <w:rFonts w:ascii="Symbol" w:hAnsi="Symbol" w:hint="default"/>
      </w:rPr>
    </w:lvl>
    <w:lvl w:ilvl="7" w:tplc="A1886D52" w:tentative="1">
      <w:start w:val="1"/>
      <w:numFmt w:val="bullet"/>
      <w:lvlText w:val="o"/>
      <w:lvlJc w:val="left"/>
      <w:pPr>
        <w:ind w:left="5760" w:hanging="360"/>
      </w:pPr>
      <w:rPr>
        <w:rFonts w:ascii="Courier New" w:hAnsi="Courier New" w:cs="Courier New" w:hint="default"/>
      </w:rPr>
    </w:lvl>
    <w:lvl w:ilvl="8" w:tplc="638E96B4" w:tentative="1">
      <w:start w:val="1"/>
      <w:numFmt w:val="bullet"/>
      <w:lvlText w:val=""/>
      <w:lvlJc w:val="left"/>
      <w:pPr>
        <w:ind w:left="6480" w:hanging="360"/>
      </w:pPr>
      <w:rPr>
        <w:rFonts w:ascii="Wingdings" w:hAnsi="Wingdings" w:hint="default"/>
      </w:rPr>
    </w:lvl>
  </w:abstractNum>
  <w:abstractNum w:abstractNumId="1" w15:restartNumberingAfterBreak="0">
    <w:nsid w:val="13A42EB5"/>
    <w:multiLevelType w:val="hybridMultilevel"/>
    <w:tmpl w:val="F47CE950"/>
    <w:lvl w:ilvl="0" w:tplc="4FF0FC56">
      <w:start w:val="1"/>
      <w:numFmt w:val="bullet"/>
      <w:lvlText w:val=""/>
      <w:lvlJc w:val="left"/>
      <w:pPr>
        <w:ind w:left="720" w:hanging="360"/>
      </w:pPr>
      <w:rPr>
        <w:rFonts w:ascii="Symbol" w:hAnsi="Symbol" w:hint="default"/>
      </w:rPr>
    </w:lvl>
    <w:lvl w:ilvl="1" w:tplc="1B90C02C" w:tentative="1">
      <w:start w:val="1"/>
      <w:numFmt w:val="bullet"/>
      <w:lvlText w:val="o"/>
      <w:lvlJc w:val="left"/>
      <w:pPr>
        <w:ind w:left="1440" w:hanging="360"/>
      </w:pPr>
      <w:rPr>
        <w:rFonts w:ascii="Courier New" w:hAnsi="Courier New" w:cs="Courier New" w:hint="default"/>
      </w:rPr>
    </w:lvl>
    <w:lvl w:ilvl="2" w:tplc="D944C2BA" w:tentative="1">
      <w:start w:val="1"/>
      <w:numFmt w:val="bullet"/>
      <w:lvlText w:val=""/>
      <w:lvlJc w:val="left"/>
      <w:pPr>
        <w:ind w:left="2160" w:hanging="360"/>
      </w:pPr>
      <w:rPr>
        <w:rFonts w:ascii="Wingdings" w:hAnsi="Wingdings" w:hint="default"/>
      </w:rPr>
    </w:lvl>
    <w:lvl w:ilvl="3" w:tplc="FEE2C74E" w:tentative="1">
      <w:start w:val="1"/>
      <w:numFmt w:val="bullet"/>
      <w:lvlText w:val=""/>
      <w:lvlJc w:val="left"/>
      <w:pPr>
        <w:ind w:left="2880" w:hanging="360"/>
      </w:pPr>
      <w:rPr>
        <w:rFonts w:ascii="Symbol" w:hAnsi="Symbol" w:hint="default"/>
      </w:rPr>
    </w:lvl>
    <w:lvl w:ilvl="4" w:tplc="9A2AC84E" w:tentative="1">
      <w:start w:val="1"/>
      <w:numFmt w:val="bullet"/>
      <w:lvlText w:val="o"/>
      <w:lvlJc w:val="left"/>
      <w:pPr>
        <w:ind w:left="3600" w:hanging="360"/>
      </w:pPr>
      <w:rPr>
        <w:rFonts w:ascii="Courier New" w:hAnsi="Courier New" w:cs="Courier New" w:hint="default"/>
      </w:rPr>
    </w:lvl>
    <w:lvl w:ilvl="5" w:tplc="ED268F9A" w:tentative="1">
      <w:start w:val="1"/>
      <w:numFmt w:val="bullet"/>
      <w:lvlText w:val=""/>
      <w:lvlJc w:val="left"/>
      <w:pPr>
        <w:ind w:left="4320" w:hanging="360"/>
      </w:pPr>
      <w:rPr>
        <w:rFonts w:ascii="Wingdings" w:hAnsi="Wingdings" w:hint="default"/>
      </w:rPr>
    </w:lvl>
    <w:lvl w:ilvl="6" w:tplc="A956B7AC" w:tentative="1">
      <w:start w:val="1"/>
      <w:numFmt w:val="bullet"/>
      <w:lvlText w:val=""/>
      <w:lvlJc w:val="left"/>
      <w:pPr>
        <w:ind w:left="5040" w:hanging="360"/>
      </w:pPr>
      <w:rPr>
        <w:rFonts w:ascii="Symbol" w:hAnsi="Symbol" w:hint="default"/>
      </w:rPr>
    </w:lvl>
    <w:lvl w:ilvl="7" w:tplc="DB783E4C" w:tentative="1">
      <w:start w:val="1"/>
      <w:numFmt w:val="bullet"/>
      <w:lvlText w:val="o"/>
      <w:lvlJc w:val="left"/>
      <w:pPr>
        <w:ind w:left="5760" w:hanging="360"/>
      </w:pPr>
      <w:rPr>
        <w:rFonts w:ascii="Courier New" w:hAnsi="Courier New" w:cs="Courier New" w:hint="default"/>
      </w:rPr>
    </w:lvl>
    <w:lvl w:ilvl="8" w:tplc="546E80DE" w:tentative="1">
      <w:start w:val="1"/>
      <w:numFmt w:val="bullet"/>
      <w:lvlText w:val=""/>
      <w:lvlJc w:val="left"/>
      <w:pPr>
        <w:ind w:left="6480" w:hanging="360"/>
      </w:pPr>
      <w:rPr>
        <w:rFonts w:ascii="Wingdings" w:hAnsi="Wingdings" w:hint="default"/>
      </w:rPr>
    </w:lvl>
  </w:abstractNum>
  <w:abstractNum w:abstractNumId="2" w15:restartNumberingAfterBreak="0">
    <w:nsid w:val="35E01ABB"/>
    <w:multiLevelType w:val="hybridMultilevel"/>
    <w:tmpl w:val="436044F2"/>
    <w:lvl w:ilvl="0" w:tplc="61A21318">
      <w:start w:val="1"/>
      <w:numFmt w:val="bullet"/>
      <w:lvlText w:val=""/>
      <w:lvlJc w:val="left"/>
      <w:pPr>
        <w:ind w:left="720" w:hanging="360"/>
      </w:pPr>
      <w:rPr>
        <w:rFonts w:ascii="Symbol" w:hAnsi="Symbol" w:hint="default"/>
      </w:rPr>
    </w:lvl>
    <w:lvl w:ilvl="1" w:tplc="E244FDF4" w:tentative="1">
      <w:start w:val="1"/>
      <w:numFmt w:val="bullet"/>
      <w:lvlText w:val="o"/>
      <w:lvlJc w:val="left"/>
      <w:pPr>
        <w:ind w:left="1440" w:hanging="360"/>
      </w:pPr>
      <w:rPr>
        <w:rFonts w:ascii="Courier New" w:hAnsi="Courier New" w:cs="Courier New" w:hint="default"/>
      </w:rPr>
    </w:lvl>
    <w:lvl w:ilvl="2" w:tplc="181680CA" w:tentative="1">
      <w:start w:val="1"/>
      <w:numFmt w:val="bullet"/>
      <w:lvlText w:val=""/>
      <w:lvlJc w:val="left"/>
      <w:pPr>
        <w:ind w:left="2160" w:hanging="360"/>
      </w:pPr>
      <w:rPr>
        <w:rFonts w:ascii="Wingdings" w:hAnsi="Wingdings" w:hint="default"/>
      </w:rPr>
    </w:lvl>
    <w:lvl w:ilvl="3" w:tplc="521ED5DC" w:tentative="1">
      <w:start w:val="1"/>
      <w:numFmt w:val="bullet"/>
      <w:lvlText w:val=""/>
      <w:lvlJc w:val="left"/>
      <w:pPr>
        <w:ind w:left="2880" w:hanging="360"/>
      </w:pPr>
      <w:rPr>
        <w:rFonts w:ascii="Symbol" w:hAnsi="Symbol" w:hint="default"/>
      </w:rPr>
    </w:lvl>
    <w:lvl w:ilvl="4" w:tplc="131C8AC4" w:tentative="1">
      <w:start w:val="1"/>
      <w:numFmt w:val="bullet"/>
      <w:lvlText w:val="o"/>
      <w:lvlJc w:val="left"/>
      <w:pPr>
        <w:ind w:left="3600" w:hanging="360"/>
      </w:pPr>
      <w:rPr>
        <w:rFonts w:ascii="Courier New" w:hAnsi="Courier New" w:cs="Courier New" w:hint="default"/>
      </w:rPr>
    </w:lvl>
    <w:lvl w:ilvl="5" w:tplc="16F29EE8" w:tentative="1">
      <w:start w:val="1"/>
      <w:numFmt w:val="bullet"/>
      <w:lvlText w:val=""/>
      <w:lvlJc w:val="left"/>
      <w:pPr>
        <w:ind w:left="4320" w:hanging="360"/>
      </w:pPr>
      <w:rPr>
        <w:rFonts w:ascii="Wingdings" w:hAnsi="Wingdings" w:hint="default"/>
      </w:rPr>
    </w:lvl>
    <w:lvl w:ilvl="6" w:tplc="BE9AD56C" w:tentative="1">
      <w:start w:val="1"/>
      <w:numFmt w:val="bullet"/>
      <w:lvlText w:val=""/>
      <w:lvlJc w:val="left"/>
      <w:pPr>
        <w:ind w:left="5040" w:hanging="360"/>
      </w:pPr>
      <w:rPr>
        <w:rFonts w:ascii="Symbol" w:hAnsi="Symbol" w:hint="default"/>
      </w:rPr>
    </w:lvl>
    <w:lvl w:ilvl="7" w:tplc="11D212D6" w:tentative="1">
      <w:start w:val="1"/>
      <w:numFmt w:val="bullet"/>
      <w:lvlText w:val="o"/>
      <w:lvlJc w:val="left"/>
      <w:pPr>
        <w:ind w:left="5760" w:hanging="360"/>
      </w:pPr>
      <w:rPr>
        <w:rFonts w:ascii="Courier New" w:hAnsi="Courier New" w:cs="Courier New" w:hint="default"/>
      </w:rPr>
    </w:lvl>
    <w:lvl w:ilvl="8" w:tplc="F25AFC20" w:tentative="1">
      <w:start w:val="1"/>
      <w:numFmt w:val="bullet"/>
      <w:lvlText w:val=""/>
      <w:lvlJc w:val="left"/>
      <w:pPr>
        <w:ind w:left="6480" w:hanging="360"/>
      </w:pPr>
      <w:rPr>
        <w:rFonts w:ascii="Wingdings" w:hAnsi="Wingdings" w:hint="default"/>
      </w:rPr>
    </w:lvl>
  </w:abstractNum>
  <w:abstractNum w:abstractNumId="3" w15:restartNumberingAfterBreak="0">
    <w:nsid w:val="43AD7A67"/>
    <w:multiLevelType w:val="hybridMultilevel"/>
    <w:tmpl w:val="47307048"/>
    <w:lvl w:ilvl="0" w:tplc="734801E4">
      <w:start w:val="1"/>
      <w:numFmt w:val="bullet"/>
      <w:lvlText w:val=""/>
      <w:lvlJc w:val="left"/>
      <w:pPr>
        <w:ind w:left="720" w:hanging="360"/>
      </w:pPr>
      <w:rPr>
        <w:rFonts w:ascii="Symbol" w:hAnsi="Symbol" w:hint="default"/>
      </w:rPr>
    </w:lvl>
    <w:lvl w:ilvl="1" w:tplc="D04471F8" w:tentative="1">
      <w:start w:val="1"/>
      <w:numFmt w:val="bullet"/>
      <w:lvlText w:val="o"/>
      <w:lvlJc w:val="left"/>
      <w:pPr>
        <w:ind w:left="1440" w:hanging="360"/>
      </w:pPr>
      <w:rPr>
        <w:rFonts w:ascii="Courier New" w:hAnsi="Courier New" w:cs="Courier New" w:hint="default"/>
      </w:rPr>
    </w:lvl>
    <w:lvl w:ilvl="2" w:tplc="97DC5FD6" w:tentative="1">
      <w:start w:val="1"/>
      <w:numFmt w:val="bullet"/>
      <w:lvlText w:val=""/>
      <w:lvlJc w:val="left"/>
      <w:pPr>
        <w:ind w:left="2160" w:hanging="360"/>
      </w:pPr>
      <w:rPr>
        <w:rFonts w:ascii="Wingdings" w:hAnsi="Wingdings" w:hint="default"/>
      </w:rPr>
    </w:lvl>
    <w:lvl w:ilvl="3" w:tplc="2AB276FA" w:tentative="1">
      <w:start w:val="1"/>
      <w:numFmt w:val="bullet"/>
      <w:lvlText w:val=""/>
      <w:lvlJc w:val="left"/>
      <w:pPr>
        <w:ind w:left="2880" w:hanging="360"/>
      </w:pPr>
      <w:rPr>
        <w:rFonts w:ascii="Symbol" w:hAnsi="Symbol" w:hint="default"/>
      </w:rPr>
    </w:lvl>
    <w:lvl w:ilvl="4" w:tplc="B356A138" w:tentative="1">
      <w:start w:val="1"/>
      <w:numFmt w:val="bullet"/>
      <w:lvlText w:val="o"/>
      <w:lvlJc w:val="left"/>
      <w:pPr>
        <w:ind w:left="3600" w:hanging="360"/>
      </w:pPr>
      <w:rPr>
        <w:rFonts w:ascii="Courier New" w:hAnsi="Courier New" w:cs="Courier New" w:hint="default"/>
      </w:rPr>
    </w:lvl>
    <w:lvl w:ilvl="5" w:tplc="5BB8F92C" w:tentative="1">
      <w:start w:val="1"/>
      <w:numFmt w:val="bullet"/>
      <w:lvlText w:val=""/>
      <w:lvlJc w:val="left"/>
      <w:pPr>
        <w:ind w:left="4320" w:hanging="360"/>
      </w:pPr>
      <w:rPr>
        <w:rFonts w:ascii="Wingdings" w:hAnsi="Wingdings" w:hint="default"/>
      </w:rPr>
    </w:lvl>
    <w:lvl w:ilvl="6" w:tplc="D43E0FD0" w:tentative="1">
      <w:start w:val="1"/>
      <w:numFmt w:val="bullet"/>
      <w:lvlText w:val=""/>
      <w:lvlJc w:val="left"/>
      <w:pPr>
        <w:ind w:left="5040" w:hanging="360"/>
      </w:pPr>
      <w:rPr>
        <w:rFonts w:ascii="Symbol" w:hAnsi="Symbol" w:hint="default"/>
      </w:rPr>
    </w:lvl>
    <w:lvl w:ilvl="7" w:tplc="0D5CF26E" w:tentative="1">
      <w:start w:val="1"/>
      <w:numFmt w:val="bullet"/>
      <w:lvlText w:val="o"/>
      <w:lvlJc w:val="left"/>
      <w:pPr>
        <w:ind w:left="5760" w:hanging="360"/>
      </w:pPr>
      <w:rPr>
        <w:rFonts w:ascii="Courier New" w:hAnsi="Courier New" w:cs="Courier New" w:hint="default"/>
      </w:rPr>
    </w:lvl>
    <w:lvl w:ilvl="8" w:tplc="F34C330A"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24"/>
    <w:rsid w:val="0000792C"/>
    <w:rsid w:val="000546C1"/>
    <w:rsid w:val="00076F7C"/>
    <w:rsid w:val="000A2884"/>
    <w:rsid w:val="000B28D8"/>
    <w:rsid w:val="00120463"/>
    <w:rsid w:val="00143101"/>
    <w:rsid w:val="00155015"/>
    <w:rsid w:val="001879B8"/>
    <w:rsid w:val="001B6544"/>
    <w:rsid w:val="001C3B1C"/>
    <w:rsid w:val="001C43B4"/>
    <w:rsid w:val="001C6CCA"/>
    <w:rsid w:val="001D6B33"/>
    <w:rsid w:val="001F2DB6"/>
    <w:rsid w:val="002000A3"/>
    <w:rsid w:val="00207F34"/>
    <w:rsid w:val="0021287D"/>
    <w:rsid w:val="0021400F"/>
    <w:rsid w:val="002672BD"/>
    <w:rsid w:val="00290D84"/>
    <w:rsid w:val="00296784"/>
    <w:rsid w:val="002A676C"/>
    <w:rsid w:val="002A743B"/>
    <w:rsid w:val="002B3176"/>
    <w:rsid w:val="002C176A"/>
    <w:rsid w:val="002C446F"/>
    <w:rsid w:val="002C66E5"/>
    <w:rsid w:val="002D1948"/>
    <w:rsid w:val="002D213E"/>
    <w:rsid w:val="002D5311"/>
    <w:rsid w:val="002D6E5C"/>
    <w:rsid w:val="002F74CC"/>
    <w:rsid w:val="002F78AA"/>
    <w:rsid w:val="003071C8"/>
    <w:rsid w:val="00320AE5"/>
    <w:rsid w:val="00324B48"/>
    <w:rsid w:val="00334172"/>
    <w:rsid w:val="0039105B"/>
    <w:rsid w:val="00401505"/>
    <w:rsid w:val="00427893"/>
    <w:rsid w:val="00447CB5"/>
    <w:rsid w:val="004556A8"/>
    <w:rsid w:val="004A3D3A"/>
    <w:rsid w:val="004B1885"/>
    <w:rsid w:val="004C713D"/>
    <w:rsid w:val="005112AD"/>
    <w:rsid w:val="0051728F"/>
    <w:rsid w:val="00577BBB"/>
    <w:rsid w:val="005B0AB7"/>
    <w:rsid w:val="00601394"/>
    <w:rsid w:val="0068644A"/>
    <w:rsid w:val="00694347"/>
    <w:rsid w:val="006A3100"/>
    <w:rsid w:val="006D2133"/>
    <w:rsid w:val="006E53A4"/>
    <w:rsid w:val="006E5FF0"/>
    <w:rsid w:val="0071746E"/>
    <w:rsid w:val="00734761"/>
    <w:rsid w:val="00747BE4"/>
    <w:rsid w:val="00774E37"/>
    <w:rsid w:val="007912C0"/>
    <w:rsid w:val="00795390"/>
    <w:rsid w:val="007A4D08"/>
    <w:rsid w:val="007A7A44"/>
    <w:rsid w:val="007B51D8"/>
    <w:rsid w:val="007B6459"/>
    <w:rsid w:val="007C5BEA"/>
    <w:rsid w:val="007C5FDC"/>
    <w:rsid w:val="007D2224"/>
    <w:rsid w:val="00802A43"/>
    <w:rsid w:val="00802AAA"/>
    <w:rsid w:val="0085619A"/>
    <w:rsid w:val="008C0FFC"/>
    <w:rsid w:val="008D0236"/>
    <w:rsid w:val="00925C57"/>
    <w:rsid w:val="0094572C"/>
    <w:rsid w:val="009626FD"/>
    <w:rsid w:val="00984C1B"/>
    <w:rsid w:val="0098556B"/>
    <w:rsid w:val="00991038"/>
    <w:rsid w:val="00994A14"/>
    <w:rsid w:val="009E0190"/>
    <w:rsid w:val="00A46702"/>
    <w:rsid w:val="00A46F96"/>
    <w:rsid w:val="00A6427D"/>
    <w:rsid w:val="00A76D9A"/>
    <w:rsid w:val="00A879FF"/>
    <w:rsid w:val="00A96F0C"/>
    <w:rsid w:val="00AD7C72"/>
    <w:rsid w:val="00AF683C"/>
    <w:rsid w:val="00B02118"/>
    <w:rsid w:val="00B260CD"/>
    <w:rsid w:val="00B43CA2"/>
    <w:rsid w:val="00B4437A"/>
    <w:rsid w:val="00B468E1"/>
    <w:rsid w:val="00B73D24"/>
    <w:rsid w:val="00B75704"/>
    <w:rsid w:val="00B87A92"/>
    <w:rsid w:val="00B93440"/>
    <w:rsid w:val="00BA2458"/>
    <w:rsid w:val="00BA7008"/>
    <w:rsid w:val="00BA728F"/>
    <w:rsid w:val="00BB39FF"/>
    <w:rsid w:val="00C25A4F"/>
    <w:rsid w:val="00C25F37"/>
    <w:rsid w:val="00C82868"/>
    <w:rsid w:val="00CA2659"/>
    <w:rsid w:val="00CC7281"/>
    <w:rsid w:val="00CD17ED"/>
    <w:rsid w:val="00CD1BF1"/>
    <w:rsid w:val="00D032AC"/>
    <w:rsid w:val="00D42594"/>
    <w:rsid w:val="00D4769C"/>
    <w:rsid w:val="00D81E6D"/>
    <w:rsid w:val="00D8341B"/>
    <w:rsid w:val="00DB6483"/>
    <w:rsid w:val="00DC11EF"/>
    <w:rsid w:val="00E22FA2"/>
    <w:rsid w:val="00E24122"/>
    <w:rsid w:val="00E27DF9"/>
    <w:rsid w:val="00E52577"/>
    <w:rsid w:val="00E61A4B"/>
    <w:rsid w:val="00E7369F"/>
    <w:rsid w:val="00E80594"/>
    <w:rsid w:val="00E8322F"/>
    <w:rsid w:val="00E96E06"/>
    <w:rsid w:val="00EF32A1"/>
    <w:rsid w:val="00EF383F"/>
    <w:rsid w:val="00F00303"/>
    <w:rsid w:val="00F10EF0"/>
    <w:rsid w:val="00F713C5"/>
    <w:rsid w:val="00F87906"/>
    <w:rsid w:val="00F87F20"/>
    <w:rsid w:val="00F902D3"/>
    <w:rsid w:val="00F946EC"/>
    <w:rsid w:val="00FC0879"/>
    <w:rsid w:val="00FC0BCA"/>
    <w:rsid w:val="00FC200F"/>
    <w:rsid w:val="00FD6386"/>
    <w:rsid w:val="00FF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DE8A2"/>
  <w15:chartTrackingRefBased/>
  <w15:docId w15:val="{5B53B9B7-5D48-644E-9C54-9AA9AD6A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A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FA2"/>
    <w:rPr>
      <w:color w:val="0563C1" w:themeColor="hyperlink"/>
      <w:u w:val="single"/>
    </w:rPr>
  </w:style>
  <w:style w:type="paragraph" w:styleId="NormalWeb">
    <w:name w:val="Normal (Web)"/>
    <w:basedOn w:val="Normal"/>
    <w:uiPriority w:val="99"/>
    <w:semiHidden/>
    <w:unhideWhenUsed/>
    <w:rsid w:val="00E22F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2FA2"/>
    <w:rPr>
      <w:i/>
      <w:iCs/>
    </w:rPr>
  </w:style>
  <w:style w:type="paragraph" w:styleId="ListParagraph">
    <w:name w:val="List Paragraph"/>
    <w:basedOn w:val="Normal"/>
    <w:uiPriority w:val="34"/>
    <w:qFormat/>
    <w:rsid w:val="00925C57"/>
    <w:pPr>
      <w:spacing w:after="0" w:line="240" w:lineRule="auto"/>
      <w:ind w:left="720"/>
      <w:contextualSpacing/>
    </w:pPr>
    <w:rPr>
      <w:sz w:val="24"/>
      <w:szCs w:val="24"/>
    </w:rPr>
  </w:style>
  <w:style w:type="paragraph" w:styleId="Footer">
    <w:name w:val="footer"/>
    <w:basedOn w:val="Normal"/>
    <w:link w:val="FooterChar"/>
    <w:uiPriority w:val="99"/>
    <w:unhideWhenUsed/>
    <w:rsid w:val="0005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C1"/>
    <w:rPr>
      <w:sz w:val="22"/>
      <w:szCs w:val="22"/>
    </w:rPr>
  </w:style>
  <w:style w:type="character" w:styleId="PageNumber">
    <w:name w:val="page number"/>
    <w:basedOn w:val="DefaultParagraphFont"/>
    <w:uiPriority w:val="99"/>
    <w:semiHidden/>
    <w:unhideWhenUsed/>
    <w:rsid w:val="000546C1"/>
  </w:style>
  <w:style w:type="table" w:styleId="TableGrid">
    <w:name w:val="Table Grid"/>
    <w:basedOn w:val="TableNormal"/>
    <w:uiPriority w:val="39"/>
    <w:rsid w:val="000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546C1"/>
    <w:pPr>
      <w:spacing w:after="0" w:line="480" w:lineRule="auto"/>
    </w:pPr>
    <w:rPr>
      <w:rFonts w:ascii="Times New Roman" w:hAnsi="Times New Roman" w:cs="Times New Roman"/>
      <w:sz w:val="24"/>
      <w:szCs w:val="24"/>
    </w:rPr>
  </w:style>
  <w:style w:type="character" w:customStyle="1" w:styleId="EndNoteBibliographyChar">
    <w:name w:val="EndNote Bibliography Char"/>
    <w:basedOn w:val="DefaultParagraphFont"/>
    <w:link w:val="EndNoteBibliography"/>
    <w:rsid w:val="000546C1"/>
    <w:rPr>
      <w:rFonts w:ascii="Times New Roman" w:hAnsi="Times New Roman" w:cs="Times New Roman"/>
    </w:rPr>
  </w:style>
  <w:style w:type="character" w:styleId="UnresolvedMention">
    <w:name w:val="Unresolved Mention"/>
    <w:basedOn w:val="DefaultParagraphFont"/>
    <w:uiPriority w:val="99"/>
    <w:semiHidden/>
    <w:unhideWhenUsed/>
    <w:rsid w:val="0005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5/01/13/opinion/david-brooks-the-child-in-the-basement.html" TargetMode="External"/><Relationship Id="rId13" Type="http://schemas.openxmlformats.org/officeDocument/2006/relationships/hyperlink" Target="https://www.lead4america.org/" TargetMode="External"/><Relationship Id="rId18" Type="http://schemas.openxmlformats.org/officeDocument/2006/relationships/hyperlink" Target="https://az.pbslearningmedia.org/resource/uklg19-ela-feminism-video/ursula-le-gui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tes.asiasociety.org/asia21summit/wp-content/uploads/2011/02/3.-Le-Guin-Ursula-The-Ones-Who-Walk-Away-From-Omelas.pdf" TargetMode="External"/><Relationship Id="rId12" Type="http://schemas.openxmlformats.org/officeDocument/2006/relationships/hyperlink" Target="https://sphweb.bumc.bu.edu/otlt/teachingLibrary/Discussion/The_Dreaded_Discussion.pdf." TargetMode="External"/><Relationship Id="rId17" Type="http://schemas.openxmlformats.org/officeDocument/2006/relationships/hyperlink" Target="https://www.youtube.com/watch?v=OgqonNzFQwU" TargetMode="External"/><Relationship Id="rId2" Type="http://schemas.openxmlformats.org/officeDocument/2006/relationships/styles" Target="styles.xml"/><Relationship Id="rId16" Type="http://schemas.openxmlformats.org/officeDocument/2006/relationships/hyperlink" Target="http://storyoftheweek.loa.org/2017/08/the-day-before-revolution.html" TargetMode="External"/><Relationship Id="rId20" Type="http://schemas.openxmlformats.org/officeDocument/2006/relationships/hyperlink" Target="https://www.nybooks.com/daily/2016/01/11/why-are-tibetans-self-immola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ennetk@a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deo.nationalgeographic.com/video/amish-out-of-order" TargetMode="External"/><Relationship Id="rId23" Type="http://schemas.openxmlformats.org/officeDocument/2006/relationships/fontTable" Target="fontTable.xml"/><Relationship Id="rId10" Type="http://schemas.openxmlformats.org/officeDocument/2006/relationships/hyperlink" Target="https://www.youtube.com/watch?v=OgqonNzFQwU" TargetMode="External"/><Relationship Id="rId19" Type="http://schemas.openxmlformats.org/officeDocument/2006/relationships/hyperlink" Target="https://www.imdb.com/title/tt0293088/" TargetMode="External"/><Relationship Id="rId4" Type="http://schemas.openxmlformats.org/officeDocument/2006/relationships/webSettings" Target="webSettings.xml"/><Relationship Id="rId9" Type="http://schemas.openxmlformats.org/officeDocument/2006/relationships/hyperlink" Target="https://www.youtube.com/watch?v=xEeFrLSkMm8" TargetMode="External"/><Relationship Id="rId14" Type="http://schemas.openxmlformats.org/officeDocument/2006/relationships/hyperlink" Target="https://www.nytimes.com/2015/01/13/opinion/david-brooks-the-child-in-the-basement.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Jennet Kirkpatrick</dc:creator>
  <cp:keywords/>
  <dc:description/>
  <cp:lastModifiedBy>Jennet Kirkpatrick</cp:lastModifiedBy>
  <cp:revision>3</cp:revision>
  <dcterms:created xsi:type="dcterms:W3CDTF">2020-12-22T22:45:00Z</dcterms:created>
  <dcterms:modified xsi:type="dcterms:W3CDTF">2020-12-22T22:46:00Z</dcterms:modified>
</cp:coreProperties>
</file>